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78" w:rsidRDefault="00AB25FC">
      <w:pPr>
        <w:ind w:firstLine="0"/>
        <w:jc w:val="right"/>
        <w:rPr>
          <w:b/>
        </w:rPr>
      </w:pPr>
      <w:proofErr w:type="spellStart"/>
      <w:r>
        <w:rPr>
          <w:b/>
        </w:rPr>
        <w:t>obARTÍCULO</w:t>
      </w:r>
      <w:proofErr w:type="spellEnd"/>
      <w:r>
        <w:rPr>
          <w:b/>
        </w:rPr>
        <w:t xml:space="preserve"> DE REVISIÓN</w:t>
      </w:r>
    </w:p>
    <w:p w:rsidR="00D03F78" w:rsidRDefault="00AB25FC">
      <w:pPr>
        <w:pStyle w:val="Ttulo1"/>
      </w:pPr>
      <w:r>
        <w:t>Comportamiento emprendedor. Una revisión de literatura desde la producción científica del proyecto GEM</w:t>
      </w:r>
    </w:p>
    <w:p w:rsidR="00D03F78" w:rsidRPr="00AB25FC" w:rsidRDefault="00AB25FC">
      <w:pPr>
        <w:ind w:firstLine="0"/>
        <w:rPr>
          <w:i/>
          <w:lang w:val="en-US"/>
        </w:rPr>
      </w:pPr>
      <w:r w:rsidRPr="00AB25FC">
        <w:rPr>
          <w:i/>
          <w:lang w:val="en-US"/>
        </w:rPr>
        <w:t>Entrepreneurial behavior. A literature review from the scientific production of the GEM project</w:t>
      </w:r>
    </w:p>
    <w:p w:rsidR="00D03F78" w:rsidRPr="00AB25FC" w:rsidRDefault="00AB25FC">
      <w:pPr>
        <w:spacing w:after="0"/>
        <w:ind w:firstLine="0"/>
        <w:rPr>
          <w:lang w:val="en-US"/>
        </w:rPr>
      </w:pPr>
      <w:bookmarkStart w:id="0" w:name="_heading=h.gjdgxs" w:colFirst="0" w:colLast="0"/>
      <w:bookmarkEnd w:id="0"/>
      <w:r w:rsidRPr="00AB25FC">
        <w:rPr>
          <w:lang w:val="en-US"/>
        </w:rPr>
        <w:t xml:space="preserve">Andrea </w:t>
      </w:r>
      <w:proofErr w:type="spellStart"/>
      <w:r w:rsidRPr="00AB25FC">
        <w:rPr>
          <w:lang w:val="en-US"/>
        </w:rPr>
        <w:t>Mosquera</w:t>
      </w:r>
      <w:proofErr w:type="spellEnd"/>
      <w:r w:rsidRPr="00AB25FC">
        <w:rPr>
          <w:lang w:val="en-US"/>
        </w:rPr>
        <w:t xml:space="preserve"> Guerrero</w:t>
      </w:r>
    </w:p>
    <w:p w:rsidR="00D03F78" w:rsidRPr="00AB25FC" w:rsidRDefault="00AB25FC">
      <w:pPr>
        <w:spacing w:after="0"/>
        <w:ind w:firstLine="0"/>
        <w:rPr>
          <w:lang w:val="en-US"/>
        </w:rPr>
      </w:pPr>
      <w:proofErr w:type="spellStart"/>
      <w:r w:rsidRPr="00AB25FC">
        <w:rPr>
          <w:lang w:val="en-US"/>
        </w:rPr>
        <w:t>Autor</w:t>
      </w:r>
      <w:proofErr w:type="spellEnd"/>
      <w:r w:rsidRPr="00AB25FC">
        <w:rPr>
          <w:lang w:val="en-US"/>
        </w:rPr>
        <w:t xml:space="preserve"> de </w:t>
      </w:r>
      <w:proofErr w:type="spellStart"/>
      <w:r w:rsidRPr="00AB25FC">
        <w:rPr>
          <w:lang w:val="en-US"/>
        </w:rPr>
        <w:t>correspondencia</w:t>
      </w:r>
      <w:proofErr w:type="spellEnd"/>
      <w:r w:rsidRPr="00AB25FC">
        <w:rPr>
          <w:lang w:val="en-US"/>
        </w:rPr>
        <w:t xml:space="preserve">: andreamosquera@admon.uniajc.edu.co - </w:t>
      </w:r>
      <w:hyperlink r:id="rId5">
        <w:r w:rsidRPr="00AB25FC">
          <w:rPr>
            <w:color w:val="000000"/>
            <w:lang w:val="en-US"/>
          </w:rPr>
          <w:t>https://orcid.org/0000-0001-6329-8172</w:t>
        </w:r>
      </w:hyperlink>
    </w:p>
    <w:p w:rsidR="00D03F78" w:rsidRDefault="00AB25FC">
      <w:pPr>
        <w:ind w:firstLine="0"/>
      </w:pPr>
      <w:r w:rsidRPr="00AB25FC">
        <w:rPr>
          <w:lang w:val="en-US"/>
        </w:rPr>
        <w:t xml:space="preserve">Universidad </w:t>
      </w:r>
      <w:proofErr w:type="spellStart"/>
      <w:r w:rsidRPr="00AB25FC">
        <w:rPr>
          <w:lang w:val="en-US"/>
        </w:rPr>
        <w:t>Politécnica</w:t>
      </w:r>
      <w:proofErr w:type="spellEnd"/>
      <w:r w:rsidRPr="00AB25FC">
        <w:rPr>
          <w:lang w:val="en-US"/>
        </w:rPr>
        <w:t xml:space="preserve"> de Valencia. </w:t>
      </w:r>
      <w:proofErr w:type="spellStart"/>
      <w:r w:rsidRPr="00AB25FC">
        <w:rPr>
          <w:lang w:val="en-US"/>
        </w:rPr>
        <w:t>Institución</w:t>
      </w:r>
      <w:proofErr w:type="spellEnd"/>
      <w:r w:rsidRPr="00AB25FC">
        <w:rPr>
          <w:lang w:val="en-US"/>
        </w:rPr>
        <w:t xml:space="preserve"> </w:t>
      </w:r>
      <w:proofErr w:type="spellStart"/>
      <w:r w:rsidRPr="00AB25FC">
        <w:rPr>
          <w:lang w:val="en-US"/>
        </w:rPr>
        <w:t>Universitaria</w:t>
      </w:r>
      <w:proofErr w:type="spellEnd"/>
      <w:r w:rsidRPr="00AB25FC">
        <w:rPr>
          <w:lang w:val="en-US"/>
        </w:rPr>
        <w:t xml:space="preserve"> Antonio José Camacho. </w:t>
      </w:r>
      <w:r>
        <w:t>Cali, Colombia</w:t>
      </w:r>
    </w:p>
    <w:p w:rsidR="00D03F78" w:rsidRDefault="00AB25FC">
      <w:pPr>
        <w:spacing w:after="0"/>
        <w:ind w:firstLine="0"/>
      </w:pPr>
      <w:r>
        <w:t xml:space="preserve">Daniel </w:t>
      </w:r>
      <w:proofErr w:type="spellStart"/>
      <w:r>
        <w:t>Yiwady</w:t>
      </w:r>
      <w:proofErr w:type="spellEnd"/>
      <w:r>
        <w:t xml:space="preserve"> Ordoñez Abril</w:t>
      </w:r>
    </w:p>
    <w:p w:rsidR="00D03F78" w:rsidRDefault="00AB25FC">
      <w:pPr>
        <w:spacing w:after="0"/>
        <w:ind w:firstLine="0"/>
      </w:pPr>
      <w:hyperlink r:id="rId6">
        <w:r>
          <w:rPr>
            <w:color w:val="000000"/>
          </w:rPr>
          <w:t>dyordoneza@unicatolica.edu.co</w:t>
        </w:r>
      </w:hyperlink>
      <w:r>
        <w:t xml:space="preserve"> - https://orcid.org/0000-0002-5598-0662</w:t>
      </w:r>
    </w:p>
    <w:p w:rsidR="00D03F78" w:rsidRDefault="00AB25FC">
      <w:pPr>
        <w:ind w:firstLine="0"/>
      </w:pPr>
      <w:r>
        <w:t>Universidad Politécnica de Valencia. Fundación Universitaria Católica Lumen Gentium, Facultad Administración, Contabilidad y Finanzas. Cali, Colombia</w:t>
      </w:r>
    </w:p>
    <w:p w:rsidR="00D03F78" w:rsidRDefault="00AB25FC">
      <w:pPr>
        <w:spacing w:after="0"/>
        <w:ind w:firstLine="0"/>
      </w:pPr>
      <w:r>
        <w:t>Juan David Mosquera Vargas</w:t>
      </w:r>
    </w:p>
    <w:p w:rsidR="00D03F78" w:rsidRDefault="00AB25FC">
      <w:pPr>
        <w:spacing w:after="0"/>
        <w:ind w:firstLine="0"/>
      </w:pPr>
      <w:hyperlink r:id="rId7">
        <w:r>
          <w:rPr>
            <w:color w:val="000000"/>
          </w:rPr>
          <w:t>juan.mosquera07@unicatolica.edu.co</w:t>
        </w:r>
      </w:hyperlink>
      <w:r>
        <w:t xml:space="preserve"> - https://orcid.org/0000-0003-2154-2792</w:t>
      </w:r>
    </w:p>
    <w:p w:rsidR="00D03F78" w:rsidRDefault="00AB25FC">
      <w:pPr>
        <w:ind w:firstLine="0"/>
      </w:pPr>
      <w:r>
        <w:t>Fundación Universitaria Católica Lumen Gentium, Facultad Administración, Contabilidad y Finanzas. Cali, Colombia</w:t>
      </w:r>
    </w:p>
    <w:p w:rsidR="00D03F78" w:rsidRDefault="00AB25FC">
      <w:pPr>
        <w:spacing w:after="0"/>
        <w:ind w:firstLine="0"/>
      </w:pPr>
      <w:r>
        <w:t>Jeison Andrés Orejuela Labio</w:t>
      </w:r>
    </w:p>
    <w:bookmarkStart w:id="1" w:name="_heading=h.30j0zll" w:colFirst="0" w:colLast="0"/>
    <w:bookmarkEnd w:id="1"/>
    <w:p w:rsidR="00D03F78" w:rsidRDefault="00AB25FC">
      <w:pPr>
        <w:spacing w:after="0"/>
        <w:ind w:firstLine="0"/>
      </w:pPr>
      <w:r>
        <w:fldChar w:fldCharType="begin"/>
      </w:r>
      <w:r>
        <w:instrText xml:space="preserve"> HYPERLINK "mailto:jeison.orejuela01@unicatolica.edu.co" \h </w:instrText>
      </w:r>
      <w:r>
        <w:fldChar w:fldCharType="separate"/>
      </w:r>
      <w:r>
        <w:rPr>
          <w:color w:val="000000"/>
        </w:rPr>
        <w:t>jeison.orejuela01@unicatolica.edu.co</w:t>
      </w:r>
      <w:r>
        <w:rPr>
          <w:color w:val="000000"/>
        </w:rPr>
        <w:fldChar w:fldCharType="end"/>
      </w:r>
      <w:r>
        <w:t xml:space="preserve"> - https://orcid.org/0009-0005-4635-1820</w:t>
      </w:r>
    </w:p>
    <w:p w:rsidR="00D03F78" w:rsidRDefault="00AB25FC">
      <w:pPr>
        <w:ind w:firstLine="0"/>
      </w:pPr>
      <w:r>
        <w:t>Fundación Universitaria Católica Lumen Gentium, Facultad Administración, Contabilidad y Finanzas. Cali, Colombia</w:t>
      </w:r>
    </w:p>
    <w:p w:rsidR="00D03F78" w:rsidRDefault="00AB25FC">
      <w:pPr>
        <w:pStyle w:val="Ttulo2"/>
      </w:pPr>
      <w:r>
        <w:t>RESUMEN</w:t>
      </w:r>
    </w:p>
    <w:p w:rsidR="00D03F78" w:rsidRDefault="00AB25FC">
      <w:pPr>
        <w:ind w:firstLine="0"/>
      </w:pPr>
      <w:r>
        <w:t xml:space="preserve">El emprendimiento ha sido estudiado desde diferentes enfoques a nivel mundial, en los cuales se han realizado investigaciones sobre cómo las personas responden a las dinámicas globales en el momento de emprender y los factores que estimulan o desaceleran el índice de desempeño en los países. Como objetivo se planteó realizar una revisión sistemática de la literatura sobre los estudios de emprendimiento a partir del proyecto GEM. Los principales hallazgos de los estudios del comportamiento emprendedor están asociados con la importancia del contexto social, legislativo, político, como base del estudio comportamental. Como conclusión se puede decir que la intención emprendedora es una variable ampliamente estudiada, a diferencia del comportamiento o la acción de emprender, que son temas que deben investigarse más a fondo, </w:t>
      </w:r>
      <w:r>
        <w:lastRenderedPageBreak/>
        <w:t>a razón de generar conocimiento que estimule nuevas formas de beneficio a nivel global e individual.</w:t>
      </w:r>
    </w:p>
    <w:p w:rsidR="00D03F78" w:rsidRDefault="00AB25FC">
      <w:r>
        <w:rPr>
          <w:b/>
          <w:i/>
        </w:rPr>
        <w:t>Palabras clave:</w:t>
      </w:r>
      <w:r>
        <w:t xml:space="preserve"> comportamiento emprendedor, emprendimiento, emprendimiento incipiente, GEM</w:t>
      </w:r>
    </w:p>
    <w:p w:rsidR="00D03F78" w:rsidRPr="00AB25FC" w:rsidRDefault="00AB25FC">
      <w:pPr>
        <w:pStyle w:val="Ttulo2"/>
        <w:rPr>
          <w:lang w:val="en-US"/>
        </w:rPr>
      </w:pPr>
      <w:r w:rsidRPr="00AB25FC">
        <w:rPr>
          <w:lang w:val="en-US"/>
        </w:rPr>
        <w:t>ABSTRACT</w:t>
      </w:r>
    </w:p>
    <w:p w:rsidR="00D03F78" w:rsidRPr="00AB25FC" w:rsidRDefault="00AB25FC">
      <w:pPr>
        <w:ind w:firstLine="0"/>
        <w:rPr>
          <w:lang w:val="en-US"/>
        </w:rPr>
      </w:pPr>
      <w:r w:rsidRPr="00AB25FC">
        <w:rPr>
          <w:lang w:val="en-US"/>
        </w:rPr>
        <w:t xml:space="preserve">Entrepreneurship has been studied from different approaches worldwide, in which research has been carried out on how people respond to global dynamics at the time of undertaking and the factors that stimulate or slow down the performance index in countries. The objective was to systematically review the literature on entrepreneurship studies from the GEM project. The main findings of the studies of entrepreneurial behavior are associated with the importance of the social, legislative, and political context as the basis of behavioral research. In conclusion, it can be said that entrepreneurial intention is a widely studied variable, a difference in the behavior or action of the undertaking. These issues must be investigated in more depth, a reason for generating knowledge that stimulates new forms of global and individual benefits. </w:t>
      </w:r>
    </w:p>
    <w:p w:rsidR="00D03F78" w:rsidRPr="00AB25FC" w:rsidRDefault="00AB25FC">
      <w:pPr>
        <w:rPr>
          <w:lang w:val="en-US"/>
        </w:rPr>
      </w:pPr>
      <w:r w:rsidRPr="00AB25FC">
        <w:rPr>
          <w:b/>
          <w:i/>
          <w:lang w:val="en-US"/>
        </w:rPr>
        <w:t>Keywords:</w:t>
      </w:r>
      <w:r w:rsidRPr="00AB25FC">
        <w:rPr>
          <w:lang w:val="en-US"/>
        </w:rPr>
        <w:t xml:space="preserve"> entrepreneurial behavior, entrepreneurship, nascent entrepreneurship, GEM</w:t>
      </w:r>
    </w:p>
    <w:p w:rsidR="00D03F78" w:rsidRDefault="00AB25FC">
      <w:pPr>
        <w:pStyle w:val="Ttulo2"/>
      </w:pPr>
      <w:r>
        <w:t>INTRODUCCIÓN</w:t>
      </w:r>
    </w:p>
    <w:p w:rsidR="00D03F78" w:rsidRDefault="00AB25FC">
      <w:r>
        <w:t xml:space="preserve">El emprendimiento se ha consolidado como mecanismo para impulsar el desarrollo social y económico, generando interés de iniciativas públicas y privadas para promover la actividad emprendedora. En este contexto, existe la necesidad de evaluar el nivel de actividad empresarial entre países para comprender la variación de la actividad emprendedora a lo largo del tiempo y comprender la razón por la cual algunos países son más emprendedores que otros. Es así como el proyecto GEM (Global </w:t>
      </w:r>
      <w:proofErr w:type="spellStart"/>
      <w:r>
        <w:t>Entrepreneurship</w:t>
      </w:r>
      <w:proofErr w:type="spellEnd"/>
      <w:r>
        <w:t xml:space="preserve"> Monitor), fundado en el año 1997, mide la actividad emprendedo</w:t>
      </w:r>
      <w:r w:rsidR="00A83D73">
        <w:t>ra a nivel internacional (</w:t>
      </w:r>
      <w:proofErr w:type="spellStart"/>
      <w:r w:rsidR="00A83D73">
        <w:t>Roomi</w:t>
      </w:r>
      <w:proofErr w:type="spellEnd"/>
      <w:r>
        <w:t>, 2021) a través de la exploración de la relación entre la actividad emprendedora y el crecimiento económico e identifica las políticas públicas que impulsan el emprendimiento.</w:t>
      </w:r>
    </w:p>
    <w:p w:rsidR="00D03F78" w:rsidRDefault="00AB25FC">
      <w:r>
        <w:t xml:space="preserve">El avance en este tema ha contribuido a mejorar la comprensión de los factores que influyen en la creación y el desarrollo de nuevos negocios. También, ha permitido identificar elementos clave, como el acceso a financiamiento, la cultura emprendedora, la educación y la infraestructura, que impactan en la iniciativa empresarial y en el ecosistema emprendedor, para comprender mejor los desafíos y oportunidades que impulsan el emprendimiento (Bernal </w:t>
      </w:r>
      <w:r w:rsidR="00EB5389">
        <w:rPr>
          <w:i/>
        </w:rPr>
        <w:t>et al</w:t>
      </w:r>
      <w:r>
        <w:t>., 2021). En este sentido, la recopilación de datos del GEM sobre el emprendimiento ha facilitado la creación de espacios favorables para su desarrollo.</w:t>
      </w:r>
      <w:bookmarkStart w:id="2" w:name="_GoBack"/>
      <w:bookmarkEnd w:id="2"/>
    </w:p>
    <w:p w:rsidR="00D03F78" w:rsidRDefault="00AB25FC">
      <w:r>
        <w:lastRenderedPageBreak/>
        <w:t>Desde una perspectiva general, la investigación en el campo del emprendimiento ha priorizado las actitudes hacia el emprendimiento, es decir, las percepciones y evaluaciones que las personas tienen sobre el emprendimiento como una opción de carrera o una actividad viable (</w:t>
      </w:r>
      <w:proofErr w:type="spellStart"/>
      <w:r>
        <w:t>Pathak</w:t>
      </w:r>
      <w:proofErr w:type="spellEnd"/>
      <w:r>
        <w:t xml:space="preserve"> &amp; </w:t>
      </w:r>
      <w:proofErr w:type="spellStart"/>
      <w:r>
        <w:t>Muralidharan</w:t>
      </w:r>
      <w:proofErr w:type="spellEnd"/>
      <w:r>
        <w:t xml:space="preserve">, 2021), por lo que se busca comprender cómo estas actitudes afectan la intención de las personas de emprender. Toda vez que, la actividad emprendedora varía significativamente entre países, motivo por el cual </w:t>
      </w:r>
      <w:proofErr w:type="spellStart"/>
      <w:r>
        <w:t>Qin</w:t>
      </w:r>
      <w:proofErr w:type="spellEnd"/>
      <w:r>
        <w:t xml:space="preserve"> </w:t>
      </w:r>
      <w:r w:rsidR="00EB5389">
        <w:rPr>
          <w:i/>
        </w:rPr>
        <w:t>et al</w:t>
      </w:r>
      <w:r>
        <w:rPr>
          <w:i/>
        </w:rPr>
        <w:t>.</w:t>
      </w:r>
      <w:r>
        <w:t xml:space="preserve"> (2021) hacen referencia a factores como el entorno económico, el acceso a financiamiento, la cultura emprendedora y las políticas gubernamentales como elementos influyentes en la propensión de las personas a emprender. Indicando que el emprendimiento no es solo una cuestión individual, sino que también está influenciado por el contexto en el que se desarrolla.</w:t>
      </w:r>
    </w:p>
    <w:p w:rsidR="00D03F78" w:rsidRDefault="00AB25FC">
      <w:r>
        <w:t>De acuerdo con lo antes mencionado, es necesario entender que en el proyecto GEM las intenciones emprendedoras se refieren a la predisposición de una persona para iniciar un nuevo negocio o emprender una actividad empresarial. Por lo que la teoría en la que se basa este proyecto está sustentada en la teoría del comportamiento planificado (TCP) (</w:t>
      </w:r>
      <w:proofErr w:type="spellStart"/>
      <w:r>
        <w:t>Ajzen</w:t>
      </w:r>
      <w:proofErr w:type="spellEnd"/>
      <w:r>
        <w:t xml:space="preserve"> &amp; </w:t>
      </w:r>
      <w:proofErr w:type="spellStart"/>
      <w:r>
        <w:t>Driven</w:t>
      </w:r>
      <w:proofErr w:type="spellEnd"/>
      <w:r>
        <w:t>, 1991), que reconoce tres factores que predicen la intención: el control del comportamiento percibido, la actitud y la norma subjetiva. En cuanto al primero de estos, la Asociación Americana de Psicología (2010) plantea que es la posición que tiene un individuo frente al grado de control que tiene sobre un comportamiento determinado; por otro lado, la actitud se asocia con el nivel de evaluación que tiene sobre un comportamiento determinado y, por último, la norma subjetiva es definida como la percepción que tiene una persona influenciada por la presión o influencia social para llevar a cabo un comportamiento determinado.</w:t>
      </w:r>
    </w:p>
    <w:p w:rsidR="00D03F78" w:rsidRDefault="00AB25FC">
      <w:r>
        <w:t>La TCP actúa como fundamento para analizar las intenciones emprendedoras de los participantes y comprender los factores subyacentes como las actitudes, las normas subjetivas y los controles percibidos que influyen en esas intenciones y cómo varían entre diferentes contextos geográficos y socioculturales. Ahora bien, al tratarse de un marco teórico ampliamente utilizado para comprender y predecir las acciones humanas en diversos contextos, se convierte en una alternativa idónea para abordar estas temáticas. Por lo que, en los últimos años, diversos estudios han explorado y ampliado la TCP, en torno a la educación emprendedora (</w:t>
      </w:r>
      <w:proofErr w:type="spellStart"/>
      <w:r>
        <w:t>Sun</w:t>
      </w:r>
      <w:proofErr w:type="spellEnd"/>
      <w:r>
        <w:t xml:space="preserve"> </w:t>
      </w:r>
      <w:r w:rsidR="00EB5389">
        <w:rPr>
          <w:i/>
        </w:rPr>
        <w:t>et al</w:t>
      </w:r>
      <w:r>
        <w:t>., 2017), el espíritu empresarial (</w:t>
      </w:r>
      <w:proofErr w:type="spellStart"/>
      <w:r>
        <w:t>Khalifa</w:t>
      </w:r>
      <w:proofErr w:type="spellEnd"/>
      <w:r>
        <w:t xml:space="preserve"> &amp; </w:t>
      </w:r>
      <w:proofErr w:type="spellStart"/>
      <w:r>
        <w:t>Dhiaf</w:t>
      </w:r>
      <w:proofErr w:type="spellEnd"/>
      <w:r>
        <w:t xml:space="preserve">, 2016), la autoeficacia empresarial y el capital psicológico (Wang </w:t>
      </w:r>
      <w:r w:rsidR="00EB5389">
        <w:rPr>
          <w:i/>
        </w:rPr>
        <w:t>et al</w:t>
      </w:r>
      <w:r>
        <w:rPr>
          <w:i/>
        </w:rPr>
        <w:t>.</w:t>
      </w:r>
      <w:r w:rsidR="006D25E5">
        <w:t>, 2021</w:t>
      </w:r>
      <w:r>
        <w:t xml:space="preserve">). Estudios recientes demuestran la relevancia como marco teórico sólido para comprender y predecir el comportamiento humano en diferentes dominios. </w:t>
      </w:r>
    </w:p>
    <w:p w:rsidR="00D03F78" w:rsidRDefault="00AB25FC">
      <w:r>
        <w:lastRenderedPageBreak/>
        <w:t xml:space="preserve">Por lo tanto, este artículo tiene como objetivo, realizar una revisión sistemática de la literatura sobre los estudios de emprendimiento a partir del proyecto GEM, con lo que se pretende identificar temas, unidades de análisis y técnicas estadísticas utilizadas a lo largo de estos estudios, así como los autores y artículos de mayor impacto para las dinámicas del emprendimiento a nivel global. Para lograr este objetivo, se realizó una búsqueda de artículos en bases de datos científicas de alto impacto como Web of </w:t>
      </w:r>
      <w:proofErr w:type="spellStart"/>
      <w:r>
        <w:t>Science</w:t>
      </w:r>
      <w:proofErr w:type="spellEnd"/>
      <w:r>
        <w:t xml:space="preserve"> (</w:t>
      </w:r>
      <w:proofErr w:type="spellStart"/>
      <w:r>
        <w:t>WoS</w:t>
      </w:r>
      <w:proofErr w:type="spellEnd"/>
      <w:r>
        <w:t xml:space="preserve">) y </w:t>
      </w:r>
      <w:proofErr w:type="spellStart"/>
      <w:r>
        <w:t>Scopus</w:t>
      </w:r>
      <w:proofErr w:type="spellEnd"/>
      <w:r>
        <w:t xml:space="preserve"> y se presentó un marco para el análisis de investigaciones publicadas, se utilizaron datos GEM, se describieron las metodologías utilizadas y, posteriormente, se presentaron los resultados de este estudio.</w:t>
      </w:r>
    </w:p>
    <w:p w:rsidR="00D03F78" w:rsidRDefault="00AB25FC">
      <w:pPr>
        <w:pStyle w:val="Ttulo2"/>
      </w:pPr>
      <w:r>
        <w:t>MATERIAL Y MÉTODOS</w:t>
      </w:r>
    </w:p>
    <w:p w:rsidR="00D03F78" w:rsidRDefault="00AB25FC">
      <w:r>
        <w:t>Con el fin de lograr el objetivo del artículo de identificar, evaluar y resumir todos los estudios relevantes de manera replicable y transparente (</w:t>
      </w:r>
      <w:proofErr w:type="spellStart"/>
      <w:r>
        <w:t>Tranfield</w:t>
      </w:r>
      <w:proofErr w:type="spellEnd"/>
      <w:r>
        <w:t xml:space="preserve"> </w:t>
      </w:r>
      <w:r w:rsidR="00EB5389">
        <w:rPr>
          <w:i/>
        </w:rPr>
        <w:t>et al</w:t>
      </w:r>
      <w:r>
        <w:t xml:space="preserve">., 2003), se empleó el protocolo propuesto por </w:t>
      </w:r>
      <w:proofErr w:type="spellStart"/>
      <w:r>
        <w:t>Cronin</w:t>
      </w:r>
      <w:proofErr w:type="spellEnd"/>
      <w:r>
        <w:t xml:space="preserve"> </w:t>
      </w:r>
      <w:r w:rsidR="00EB5389">
        <w:rPr>
          <w:i/>
        </w:rPr>
        <w:t>et al</w:t>
      </w:r>
      <w:r>
        <w:rPr>
          <w:i/>
        </w:rPr>
        <w:t>.</w:t>
      </w:r>
      <w:r>
        <w:t xml:space="preserve"> (2008), en el que se incluye una serie de búsquedas en bases de datos, con una priorización establecida en la selección del material y la generación de una síntesis exhaustiva al finalizar (</w:t>
      </w:r>
      <w:proofErr w:type="spellStart"/>
      <w:r>
        <w:t>Creswell</w:t>
      </w:r>
      <w:proofErr w:type="spellEnd"/>
      <w:r>
        <w:t>, 2010). A continuación, se detallan los pasos seguidos durante la investigación llevada a cabo.</w:t>
      </w:r>
    </w:p>
    <w:p w:rsidR="00D03F78" w:rsidRDefault="00AB25FC">
      <w:pPr>
        <w:pStyle w:val="Ttulo2"/>
      </w:pPr>
      <w:r>
        <w:t>Figura 1</w:t>
      </w:r>
    </w:p>
    <w:p w:rsidR="00D03F78" w:rsidRDefault="00AB25FC">
      <w:pPr>
        <w:ind w:firstLine="0"/>
      </w:pPr>
      <w:r>
        <w:rPr>
          <w:i/>
        </w:rPr>
        <w:t>Trayectoria metodológica</w:t>
      </w:r>
    </w:p>
    <w:p w:rsidR="00D03F78" w:rsidRDefault="00AB25FC">
      <w:r>
        <w:rPr>
          <w:noProof/>
          <w:lang w:val="en-US"/>
        </w:rPr>
        <w:drawing>
          <wp:anchor distT="0" distB="0" distL="114300" distR="114300" simplePos="0" relativeHeight="251658240" behindDoc="0" locked="0" layoutInCell="1" hidden="0" allowOverlap="1">
            <wp:simplePos x="0" y="0"/>
            <wp:positionH relativeFrom="column">
              <wp:posOffset>1271</wp:posOffset>
            </wp:positionH>
            <wp:positionV relativeFrom="paragraph">
              <wp:posOffset>1270</wp:posOffset>
            </wp:positionV>
            <wp:extent cx="5399405" cy="2952750"/>
            <wp:effectExtent l="0" t="0" r="0" b="0"/>
            <wp:wrapTopAndBottom distT="0" distB="0"/>
            <wp:docPr id="2040841836" name="image2.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Diagrama&#10;&#10;Descripción generada automáticamente"/>
                    <pic:cNvPicPr preferRelativeResize="0"/>
                  </pic:nvPicPr>
                  <pic:blipFill>
                    <a:blip r:embed="rId8"/>
                    <a:srcRect t="2727" b="3343"/>
                    <a:stretch>
                      <a:fillRect/>
                    </a:stretch>
                  </pic:blipFill>
                  <pic:spPr>
                    <a:xfrm>
                      <a:off x="0" y="0"/>
                      <a:ext cx="5399405" cy="2952750"/>
                    </a:xfrm>
                    <a:prstGeom prst="rect">
                      <a:avLst/>
                    </a:prstGeom>
                    <a:ln/>
                  </pic:spPr>
                </pic:pic>
              </a:graphicData>
            </a:graphic>
          </wp:anchor>
        </w:drawing>
      </w:r>
    </w:p>
    <w:p w:rsidR="00D03F78" w:rsidRDefault="00D03F78">
      <w:pPr>
        <w:rPr>
          <w:b/>
        </w:rPr>
      </w:pPr>
    </w:p>
    <w:p w:rsidR="00D03F78" w:rsidRDefault="00AB25FC">
      <w:pPr>
        <w:rPr>
          <w:b/>
        </w:rPr>
      </w:pPr>
      <w:r>
        <w:rPr>
          <w:b/>
        </w:rPr>
        <w:lastRenderedPageBreak/>
        <w:t>Definición de búsqueda</w:t>
      </w:r>
    </w:p>
    <w:p w:rsidR="00D03F78" w:rsidRDefault="00AB25FC">
      <w:r>
        <w:t xml:space="preserve">Se inició el estudio abordando el comportamiento emprendedor, siguiendo el enfoque presentado por Medina </w:t>
      </w:r>
      <w:r w:rsidR="00EB5389">
        <w:rPr>
          <w:i/>
        </w:rPr>
        <w:t>et al</w:t>
      </w:r>
      <w:r>
        <w:t>. (2014), quienes consideran que el comportamiento emprendedor se origina a partir de la intención de establecer un negocio propio. Para comprender este fenómeno, se examinaron diversas variables relacionadas con la actividad emprendedora en diferentes contextos. Por lo tanto, se analizaron las diversas publicaciones en revistas de alto impacto, enfocándose en las diversas producciones literarias de la actividad emprendedora planteadas por diferentes autores a nivel mundial. El objetivo general estuvo basado en la revisión sistemática de estudios sobre la actividad emprendedora a nivel global y los factores que la influyen, es así que se buscaron artículos con una metodología común de medición en todos los países involucrados y que describen al emprendedor, su entorno y los factores que incrementan los niveles de emprendimiento.</w:t>
      </w:r>
    </w:p>
    <w:p w:rsidR="00D03F78" w:rsidRDefault="00AB25FC">
      <w:r>
        <w:t xml:space="preserve">La búsqueda de la literatura fue realizada principalmente en bases de datos de renombre como </w:t>
      </w:r>
      <w:proofErr w:type="spellStart"/>
      <w:r>
        <w:t>WoS</w:t>
      </w:r>
      <w:proofErr w:type="spellEnd"/>
      <w:r>
        <w:t>, utilizando términos específicos relacionados con el emprendimiento y proyecto GEM a nivel mundial, con el propósito de afinar los parámetros y restringir los resultados. Cabe señalar que la elección de las bases de datos se dio por contar con una amplia y variada gama de revistas de diferentes áreas del conocimiento aceptadas por los investigadores. En estas plataformas de datos, se emplearon los términos “</w:t>
      </w:r>
      <w:proofErr w:type="spellStart"/>
      <w:r>
        <w:t>entrepreneur</w:t>
      </w:r>
      <w:proofErr w:type="spellEnd"/>
      <w:r>
        <w:t>*” y “GEM Project” como descriptores en el campo de búsqueda, considerando que el enfoque se fundamentó en los descubrimientos previos del proyecto GEM en distintos contextos. Para efectos de la selección, se utilizaron los títulos y resúmenes como principales criterios dentro de un marco de tiempo establecido por la duración del proyecto GEM.</w:t>
      </w:r>
    </w:p>
    <w:p w:rsidR="00D03F78" w:rsidRDefault="00AB25FC">
      <w:pPr>
        <w:rPr>
          <w:b/>
        </w:rPr>
      </w:pPr>
      <w:r>
        <w:rPr>
          <w:b/>
        </w:rPr>
        <w:t>Ejecución de búsqueda y discusión de resultados</w:t>
      </w:r>
    </w:p>
    <w:p w:rsidR="00D03F78" w:rsidRDefault="00AB25FC">
      <w:r>
        <w:t xml:space="preserve">Aplicando los criterios de exclusión establecidos por </w:t>
      </w:r>
      <w:proofErr w:type="spellStart"/>
      <w:r>
        <w:t>Cronin</w:t>
      </w:r>
      <w:proofErr w:type="spellEnd"/>
      <w:r>
        <w:t xml:space="preserve"> </w:t>
      </w:r>
      <w:r w:rsidR="00EB5389">
        <w:rPr>
          <w:i/>
        </w:rPr>
        <w:t>et al</w:t>
      </w:r>
      <w:r>
        <w:t xml:space="preserve">. (2008), la búsqueda de términos relacionados con “emprendimiento” arrojó un total de 639 publicaciones en bases de datos reconocidas por su rigor científico. Estas publicaciones abarcaban el periodo comprendido entre 2004 y 2023. Tras realizar la primera exclusión y seleccionar los artículos científicos validados según </w:t>
      </w:r>
      <w:proofErr w:type="spellStart"/>
      <w:r>
        <w:t>Podsakoff</w:t>
      </w:r>
      <w:proofErr w:type="spellEnd"/>
      <w:r>
        <w:t xml:space="preserve"> </w:t>
      </w:r>
      <w:r>
        <w:rPr>
          <w:i/>
        </w:rPr>
        <w:t>et al</w:t>
      </w:r>
      <w:r>
        <w:t xml:space="preserve">. (2005), se obtuvieron inicialmente 418 artículos publicados en revistas clasificadas por su factor de impacto en los niveles Q1, Q2, Q3 y Q4, de acuerdo con </w:t>
      </w:r>
      <w:proofErr w:type="spellStart"/>
      <w:r>
        <w:t>Journal</w:t>
      </w:r>
      <w:proofErr w:type="spellEnd"/>
      <w:r>
        <w:t xml:space="preserve"> </w:t>
      </w:r>
      <w:proofErr w:type="spellStart"/>
      <w:r>
        <w:t>Citation</w:t>
      </w:r>
      <w:proofErr w:type="spellEnd"/>
      <w:r>
        <w:t xml:space="preserve"> </w:t>
      </w:r>
      <w:proofErr w:type="spellStart"/>
      <w:r>
        <w:t>Reports</w:t>
      </w:r>
      <w:proofErr w:type="spellEnd"/>
      <w:r>
        <w:t xml:space="preserve"> (JCR). En la segunda etapa de exclusión y selección, se centró en los últimos cinco años de publicación (2019-2023), identificando 254 artículos científicos.</w:t>
      </w:r>
    </w:p>
    <w:p w:rsidR="00D03F78" w:rsidRDefault="00AB25FC">
      <w:r>
        <w:lastRenderedPageBreak/>
        <w:t xml:space="preserve">Posteriormente, se priorizaron los artículos publicados en revistas con factor de impacto igual o superior a la media de las revistas categorizadas en JCR y que fueran producto del proyecto de investigación GEM en el contexto del emprendedor. Esto permitió excluir 175 artículos y retener 78 para el análisis individual e independiente de los artículos, teniendo en cuenta criterios como el enfoque de investigación, el método, la muestra (cuantitativa/cualitativa), las técnicas de recolección y análisis de datos, así como los resultados y conclusiones obtenidas. Para luego, usar el software </w:t>
      </w:r>
      <w:proofErr w:type="spellStart"/>
      <w:r>
        <w:t>NVivo</w:t>
      </w:r>
      <w:proofErr w:type="spellEnd"/>
      <w:r>
        <w:t xml:space="preserve"> en la agrupación de los artículos mediante el coeficiente de correlación de Pearson, a fin de realizar un análisis de contenido completo.</w:t>
      </w:r>
    </w:p>
    <w:p w:rsidR="00D03F78" w:rsidRDefault="00AB25FC">
      <w:pPr>
        <w:pStyle w:val="Ttulo2"/>
      </w:pPr>
      <w:r>
        <w:t>RESULTADOS</w:t>
      </w:r>
    </w:p>
    <w:p w:rsidR="00D03F78" w:rsidRDefault="00AB25FC">
      <w:pPr>
        <w:rPr>
          <w:b/>
        </w:rPr>
      </w:pPr>
      <w:r>
        <w:rPr>
          <w:b/>
        </w:rPr>
        <w:t>Panorama de publicaciones</w:t>
      </w:r>
    </w:p>
    <w:p w:rsidR="00D03F78" w:rsidRDefault="00AB25FC">
      <w:r>
        <w:t xml:space="preserve">La clasificación y el listado de las revistas investigadas y consultadas se observa en la tabla 1, en la cual se evidenció el número de publicaciones investigadas por revistas afines a temas sobre emprendimiento, su factor de impacto y el cuartil en JCR y </w:t>
      </w:r>
      <w:proofErr w:type="spellStart"/>
      <w:r>
        <w:t>Scimago</w:t>
      </w:r>
      <w:proofErr w:type="spellEnd"/>
      <w:r>
        <w:t xml:space="preserve"> </w:t>
      </w:r>
      <w:proofErr w:type="spellStart"/>
      <w:r>
        <w:t>Journal</w:t>
      </w:r>
      <w:proofErr w:type="spellEnd"/>
      <w:r>
        <w:t xml:space="preserve"> Rank. Así, en la revisión de este tema se encontró una amplia dispersión de revistas científicas que lo publican, siendo (i) Small Business </w:t>
      </w:r>
      <w:proofErr w:type="spellStart"/>
      <w:r>
        <w:t>Economics</w:t>
      </w:r>
      <w:proofErr w:type="spellEnd"/>
      <w:r>
        <w:t xml:space="preserve"> (12,82 %) y </w:t>
      </w:r>
      <w:proofErr w:type="spellStart"/>
      <w:r>
        <w:t>Journal</w:t>
      </w:r>
      <w:proofErr w:type="spellEnd"/>
      <w:r>
        <w:t xml:space="preserve"> of Business </w:t>
      </w:r>
      <w:proofErr w:type="spellStart"/>
      <w:r>
        <w:t>Research</w:t>
      </w:r>
      <w:proofErr w:type="spellEnd"/>
      <w:r>
        <w:t xml:space="preserve"> (12,82 %) las que mayor porcentaje de artículos aportaron al estudio, seguidas de (ii) International </w:t>
      </w:r>
      <w:proofErr w:type="spellStart"/>
      <w:r>
        <w:t>Journal</w:t>
      </w:r>
      <w:proofErr w:type="spellEnd"/>
      <w:r>
        <w:t xml:space="preserve"> of </w:t>
      </w:r>
      <w:proofErr w:type="spellStart"/>
      <w:r>
        <w:t>Entrepreneurial</w:t>
      </w:r>
      <w:proofErr w:type="spellEnd"/>
      <w:r>
        <w:t xml:space="preserve"> </w:t>
      </w:r>
      <w:proofErr w:type="spellStart"/>
      <w:r>
        <w:t>Behavior</w:t>
      </w:r>
      <w:proofErr w:type="spellEnd"/>
      <w:r>
        <w:t xml:space="preserve"> &amp; </w:t>
      </w:r>
      <w:proofErr w:type="spellStart"/>
      <w:r>
        <w:t>Research</w:t>
      </w:r>
      <w:proofErr w:type="spellEnd"/>
      <w:r>
        <w:t xml:space="preserve"> (10,26 %), (iii) International </w:t>
      </w:r>
      <w:proofErr w:type="spellStart"/>
      <w:r>
        <w:t>Entrepreneurship</w:t>
      </w:r>
      <w:proofErr w:type="spellEnd"/>
      <w:r>
        <w:t xml:space="preserve"> and Management </w:t>
      </w:r>
      <w:proofErr w:type="spellStart"/>
      <w:r>
        <w:t>Journal</w:t>
      </w:r>
      <w:proofErr w:type="spellEnd"/>
      <w:r>
        <w:t xml:space="preserve"> (7,69 %), (iv) </w:t>
      </w:r>
      <w:proofErr w:type="spellStart"/>
      <w:r>
        <w:t>European</w:t>
      </w:r>
      <w:proofErr w:type="spellEnd"/>
      <w:r>
        <w:t xml:space="preserve"> Business </w:t>
      </w:r>
      <w:proofErr w:type="spellStart"/>
      <w:r>
        <w:t>Review</w:t>
      </w:r>
      <w:proofErr w:type="spellEnd"/>
      <w:r>
        <w:t xml:space="preserve"> (5,13 %) y </w:t>
      </w:r>
      <w:proofErr w:type="spellStart"/>
      <w:r>
        <w:t>Technological</w:t>
      </w:r>
      <w:proofErr w:type="spellEnd"/>
      <w:r>
        <w:t xml:space="preserve"> </w:t>
      </w:r>
      <w:proofErr w:type="spellStart"/>
      <w:r>
        <w:t>Forecasting</w:t>
      </w:r>
      <w:proofErr w:type="spellEnd"/>
      <w:r>
        <w:t xml:space="preserve"> and Social </w:t>
      </w:r>
      <w:proofErr w:type="spellStart"/>
      <w:r>
        <w:t>Change</w:t>
      </w:r>
      <w:proofErr w:type="spellEnd"/>
      <w:r>
        <w:t xml:space="preserve"> (5,13 %), (v) </w:t>
      </w:r>
      <w:proofErr w:type="spellStart"/>
      <w:r>
        <w:t>Technology</w:t>
      </w:r>
      <w:proofErr w:type="spellEnd"/>
      <w:r>
        <w:t xml:space="preserve"> in </w:t>
      </w:r>
      <w:proofErr w:type="spellStart"/>
      <w:r>
        <w:t>Society</w:t>
      </w:r>
      <w:proofErr w:type="spellEnd"/>
      <w:r>
        <w:t>, Socio-</w:t>
      </w:r>
      <w:proofErr w:type="spellStart"/>
      <w:r>
        <w:t>Economic</w:t>
      </w:r>
      <w:proofErr w:type="spellEnd"/>
      <w:r>
        <w:t xml:space="preserve"> </w:t>
      </w:r>
      <w:proofErr w:type="spellStart"/>
      <w:r>
        <w:t>Planning</w:t>
      </w:r>
      <w:proofErr w:type="spellEnd"/>
      <w:r>
        <w:t xml:space="preserve"> </w:t>
      </w:r>
      <w:proofErr w:type="spellStart"/>
      <w:r>
        <w:t>Sciences</w:t>
      </w:r>
      <w:proofErr w:type="spellEnd"/>
      <w:r>
        <w:t xml:space="preserve">, Management </w:t>
      </w:r>
      <w:proofErr w:type="spellStart"/>
      <w:r>
        <w:t>Decision</w:t>
      </w:r>
      <w:proofErr w:type="spellEnd"/>
      <w:r>
        <w:t xml:space="preserve">, </w:t>
      </w:r>
      <w:proofErr w:type="spellStart"/>
      <w:r>
        <w:t>Journal</w:t>
      </w:r>
      <w:proofErr w:type="spellEnd"/>
      <w:r>
        <w:t xml:space="preserve"> of </w:t>
      </w:r>
      <w:proofErr w:type="spellStart"/>
      <w:r>
        <w:t>Technology</w:t>
      </w:r>
      <w:proofErr w:type="spellEnd"/>
      <w:r>
        <w:t xml:space="preserve"> Transfer, </w:t>
      </w:r>
      <w:proofErr w:type="spellStart"/>
      <w:r>
        <w:t>Journal</w:t>
      </w:r>
      <w:proofErr w:type="spellEnd"/>
      <w:r>
        <w:t xml:space="preserve"> of International </w:t>
      </w:r>
      <w:proofErr w:type="spellStart"/>
      <w:r>
        <w:t>Entrepreneurship</w:t>
      </w:r>
      <w:proofErr w:type="spellEnd"/>
      <w:r>
        <w:t xml:space="preserve"> e International Business </w:t>
      </w:r>
      <w:proofErr w:type="spellStart"/>
      <w:r>
        <w:t>Review</w:t>
      </w:r>
      <w:proofErr w:type="spellEnd"/>
      <w:r>
        <w:t xml:space="preserve"> con el 2,56 %, cada una, y (vi) el resto de revistas equivalentes al 30,77 %, aportaron de a una sola publicación al estudio. </w:t>
      </w:r>
    </w:p>
    <w:p w:rsidR="00D03F78" w:rsidRDefault="00AB25FC">
      <w:pPr>
        <w:pStyle w:val="Ttulo2"/>
      </w:pPr>
      <w:r>
        <w:t>Tabla 1</w:t>
      </w:r>
    </w:p>
    <w:p w:rsidR="00D03F78" w:rsidRDefault="00AB25FC">
      <w:pPr>
        <w:ind w:firstLine="0"/>
        <w:rPr>
          <w:i/>
        </w:rPr>
      </w:pPr>
      <w:r>
        <w:rPr>
          <w:i/>
        </w:rPr>
        <w:t>Número de publicaciones en revistas indexadas y su clasificación respectiva</w:t>
      </w:r>
    </w:p>
    <w:tbl>
      <w:tblPr>
        <w:tblStyle w:val="a0"/>
        <w:tblW w:w="9072" w:type="dxa"/>
        <w:jc w:val="center"/>
        <w:tblInd w:w="0" w:type="dxa"/>
        <w:tblBorders>
          <w:top w:val="single" w:sz="4" w:space="0" w:color="000000"/>
          <w:bottom w:val="single" w:sz="4" w:space="0" w:color="000000"/>
        </w:tblBorders>
        <w:tblLayout w:type="fixed"/>
        <w:tblLook w:val="0400" w:firstRow="0" w:lastRow="0" w:firstColumn="0" w:lastColumn="0" w:noHBand="0" w:noVBand="1"/>
      </w:tblPr>
      <w:tblGrid>
        <w:gridCol w:w="4820"/>
        <w:gridCol w:w="709"/>
        <w:gridCol w:w="850"/>
        <w:gridCol w:w="709"/>
        <w:gridCol w:w="709"/>
        <w:gridCol w:w="425"/>
        <w:gridCol w:w="850"/>
      </w:tblGrid>
      <w:tr w:rsidR="00D03F78">
        <w:trPr>
          <w:trHeight w:val="300"/>
          <w:tblHeader/>
          <w:jc w:val="center"/>
        </w:trPr>
        <w:tc>
          <w:tcPr>
            <w:tcW w:w="4820" w:type="dxa"/>
            <w:tcBorders>
              <w:top w:val="single" w:sz="4" w:space="0" w:color="000000"/>
              <w:bottom w:val="single" w:sz="4" w:space="0" w:color="000000"/>
            </w:tcBorders>
            <w:shd w:val="clear" w:color="auto" w:fill="auto"/>
            <w:vAlign w:val="center"/>
          </w:tcPr>
          <w:p w:rsidR="00D03F78" w:rsidRDefault="00AB25FC">
            <w:pPr>
              <w:spacing w:after="0"/>
              <w:ind w:firstLine="0"/>
              <w:rPr>
                <w:sz w:val="20"/>
                <w:szCs w:val="20"/>
              </w:rPr>
            </w:pPr>
            <w:r>
              <w:rPr>
                <w:sz w:val="20"/>
                <w:szCs w:val="20"/>
              </w:rPr>
              <w:t>Revista</w:t>
            </w:r>
          </w:p>
        </w:tc>
        <w:tc>
          <w:tcPr>
            <w:tcW w:w="709" w:type="dxa"/>
            <w:tcBorders>
              <w:top w:val="single" w:sz="4" w:space="0" w:color="000000"/>
              <w:bottom w:val="single" w:sz="4" w:space="0" w:color="000000"/>
            </w:tcBorders>
            <w:shd w:val="clear" w:color="auto" w:fill="auto"/>
            <w:vAlign w:val="center"/>
          </w:tcPr>
          <w:p w:rsidR="00D03F78" w:rsidRDefault="00AB25FC">
            <w:pPr>
              <w:spacing w:after="0"/>
              <w:ind w:firstLine="0"/>
              <w:jc w:val="center"/>
              <w:rPr>
                <w:sz w:val="20"/>
                <w:szCs w:val="20"/>
              </w:rPr>
            </w:pPr>
            <w:proofErr w:type="spellStart"/>
            <w:r>
              <w:rPr>
                <w:sz w:val="20"/>
                <w:szCs w:val="20"/>
              </w:rPr>
              <w:t>WoS</w:t>
            </w:r>
            <w:proofErr w:type="spellEnd"/>
          </w:p>
        </w:tc>
        <w:tc>
          <w:tcPr>
            <w:tcW w:w="850" w:type="dxa"/>
            <w:tcBorders>
              <w:top w:val="single" w:sz="4" w:space="0" w:color="000000"/>
              <w:bottom w:val="single" w:sz="4" w:space="0" w:color="000000"/>
            </w:tcBorders>
            <w:vAlign w:val="center"/>
          </w:tcPr>
          <w:p w:rsidR="00D03F78" w:rsidRDefault="00AB25FC">
            <w:pPr>
              <w:spacing w:after="0"/>
              <w:ind w:firstLine="0"/>
              <w:jc w:val="center"/>
              <w:rPr>
                <w:sz w:val="20"/>
                <w:szCs w:val="20"/>
              </w:rPr>
            </w:pPr>
            <w:proofErr w:type="spellStart"/>
            <w:r>
              <w:rPr>
                <w:sz w:val="20"/>
                <w:szCs w:val="20"/>
              </w:rPr>
              <w:t>Scimag</w:t>
            </w:r>
            <w:proofErr w:type="spellEnd"/>
          </w:p>
        </w:tc>
        <w:tc>
          <w:tcPr>
            <w:tcW w:w="709" w:type="dxa"/>
            <w:tcBorders>
              <w:top w:val="single" w:sz="4" w:space="0" w:color="000000"/>
              <w:bottom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JIF</w:t>
            </w:r>
          </w:p>
        </w:tc>
        <w:tc>
          <w:tcPr>
            <w:tcW w:w="709" w:type="dxa"/>
            <w:tcBorders>
              <w:top w:val="single" w:sz="4" w:space="0" w:color="000000"/>
              <w:bottom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JCI</w:t>
            </w:r>
          </w:p>
        </w:tc>
        <w:tc>
          <w:tcPr>
            <w:tcW w:w="425" w:type="dxa"/>
            <w:tcBorders>
              <w:top w:val="single" w:sz="4" w:space="0" w:color="000000"/>
              <w:bottom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Art</w:t>
            </w:r>
          </w:p>
        </w:tc>
        <w:tc>
          <w:tcPr>
            <w:tcW w:w="850" w:type="dxa"/>
            <w:tcBorders>
              <w:top w:val="single" w:sz="4" w:space="0" w:color="000000"/>
              <w:bottom w:val="single" w:sz="4" w:space="0" w:color="000000"/>
            </w:tcBorders>
            <w:vAlign w:val="center"/>
          </w:tcPr>
          <w:p w:rsidR="00D03F78" w:rsidRDefault="00AB25FC">
            <w:pPr>
              <w:spacing w:after="0"/>
              <w:ind w:firstLine="0"/>
              <w:jc w:val="center"/>
              <w:rPr>
                <w:sz w:val="20"/>
                <w:szCs w:val="20"/>
              </w:rPr>
            </w:pPr>
            <w:r>
              <w:rPr>
                <w:sz w:val="20"/>
                <w:szCs w:val="20"/>
              </w:rPr>
              <w:t>%</w:t>
            </w:r>
          </w:p>
        </w:tc>
      </w:tr>
      <w:tr w:rsidR="00D03F78">
        <w:trPr>
          <w:trHeight w:val="70"/>
          <w:jc w:val="center"/>
        </w:trPr>
        <w:tc>
          <w:tcPr>
            <w:tcW w:w="4820" w:type="dxa"/>
            <w:tcBorders>
              <w:top w:val="single" w:sz="4" w:space="0" w:color="000000"/>
            </w:tcBorders>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business</w:t>
            </w:r>
            <w:proofErr w:type="spellEnd"/>
            <w:r>
              <w:rPr>
                <w:sz w:val="20"/>
                <w:szCs w:val="20"/>
              </w:rPr>
              <w:t xml:space="preserve"> </w:t>
            </w:r>
            <w:proofErr w:type="spellStart"/>
            <w:r>
              <w:rPr>
                <w:sz w:val="20"/>
                <w:szCs w:val="20"/>
              </w:rPr>
              <w:t>venturing</w:t>
            </w:r>
            <w:proofErr w:type="spellEnd"/>
          </w:p>
        </w:tc>
        <w:tc>
          <w:tcPr>
            <w:tcW w:w="709" w:type="dxa"/>
            <w:tcBorders>
              <w:top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tcBorders>
              <w:top w:val="single" w:sz="4" w:space="0" w:color="000000"/>
            </w:tcBorders>
            <w:vAlign w:val="center"/>
          </w:tcPr>
          <w:p w:rsidR="00D03F78" w:rsidRDefault="00AB25FC">
            <w:pPr>
              <w:spacing w:after="0"/>
              <w:ind w:firstLine="0"/>
              <w:jc w:val="center"/>
              <w:rPr>
                <w:sz w:val="20"/>
                <w:szCs w:val="20"/>
              </w:rPr>
            </w:pPr>
            <w:r>
              <w:rPr>
                <w:sz w:val="20"/>
                <w:szCs w:val="20"/>
              </w:rPr>
              <w:t>Q1</w:t>
            </w:r>
          </w:p>
        </w:tc>
        <w:tc>
          <w:tcPr>
            <w:tcW w:w="709" w:type="dxa"/>
            <w:tcBorders>
              <w:top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13,13</w:t>
            </w:r>
          </w:p>
        </w:tc>
        <w:tc>
          <w:tcPr>
            <w:tcW w:w="709" w:type="dxa"/>
            <w:tcBorders>
              <w:top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2,44</w:t>
            </w:r>
          </w:p>
        </w:tc>
        <w:tc>
          <w:tcPr>
            <w:tcW w:w="425" w:type="dxa"/>
            <w:tcBorders>
              <w:top w:val="single" w:sz="4" w:space="0" w:color="000000"/>
            </w:tcBorders>
            <w:shd w:val="clear" w:color="auto" w:fill="auto"/>
            <w:vAlign w:val="center"/>
          </w:tcPr>
          <w:p w:rsidR="00D03F78" w:rsidRDefault="00AB25FC">
            <w:pPr>
              <w:spacing w:after="0"/>
              <w:ind w:firstLine="0"/>
              <w:jc w:val="center"/>
              <w:rPr>
                <w:sz w:val="20"/>
                <w:szCs w:val="20"/>
              </w:rPr>
            </w:pPr>
            <w:r>
              <w:rPr>
                <w:sz w:val="20"/>
                <w:szCs w:val="20"/>
              </w:rPr>
              <w:t>1</w:t>
            </w:r>
          </w:p>
        </w:tc>
        <w:tc>
          <w:tcPr>
            <w:tcW w:w="850" w:type="dxa"/>
            <w:tcBorders>
              <w:top w:val="single" w:sz="4" w:space="0" w:color="000000"/>
            </w:tcBorders>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International journal of hospitality management</w:t>
            </w:r>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11,70</w:t>
            </w:r>
          </w:p>
        </w:tc>
        <w:tc>
          <w:tcPr>
            <w:tcW w:w="709" w:type="dxa"/>
            <w:shd w:val="clear" w:color="auto" w:fill="auto"/>
            <w:vAlign w:val="center"/>
          </w:tcPr>
          <w:p w:rsidR="00D03F78" w:rsidRDefault="00AB25FC">
            <w:pPr>
              <w:spacing w:after="0"/>
              <w:ind w:firstLine="0"/>
              <w:jc w:val="center"/>
              <w:rPr>
                <w:sz w:val="20"/>
                <w:szCs w:val="20"/>
              </w:rPr>
            </w:pPr>
            <w:r>
              <w:rPr>
                <w:sz w:val="20"/>
                <w:szCs w:val="20"/>
              </w:rPr>
              <w:t>2,95</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innovation</w:t>
            </w:r>
            <w:proofErr w:type="spellEnd"/>
            <w:r>
              <w:rPr>
                <w:sz w:val="20"/>
                <w:szCs w:val="20"/>
              </w:rPr>
              <w:t xml:space="preserve"> &amp; </w:t>
            </w:r>
            <w:proofErr w:type="spellStart"/>
            <w:r>
              <w:rPr>
                <w:sz w:val="20"/>
                <w:szCs w:val="20"/>
              </w:rPr>
              <w:t>knowledge</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11,21</w:t>
            </w:r>
          </w:p>
        </w:tc>
        <w:tc>
          <w:tcPr>
            <w:tcW w:w="709" w:type="dxa"/>
            <w:shd w:val="clear" w:color="auto" w:fill="auto"/>
            <w:vAlign w:val="center"/>
          </w:tcPr>
          <w:p w:rsidR="00D03F78" w:rsidRDefault="00AB25FC">
            <w:pPr>
              <w:spacing w:after="0"/>
              <w:ind w:firstLine="0"/>
              <w:jc w:val="center"/>
              <w:rPr>
                <w:sz w:val="20"/>
                <w:szCs w:val="20"/>
              </w:rPr>
            </w:pPr>
            <w:r>
              <w:rPr>
                <w:sz w:val="20"/>
                <w:szCs w:val="20"/>
              </w:rPr>
              <w:t>2,56</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Journal of international business studies</w:t>
            </w:r>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11,10</w:t>
            </w:r>
          </w:p>
        </w:tc>
        <w:tc>
          <w:tcPr>
            <w:tcW w:w="709" w:type="dxa"/>
            <w:shd w:val="clear" w:color="auto" w:fill="auto"/>
            <w:vAlign w:val="center"/>
          </w:tcPr>
          <w:p w:rsidR="00D03F78" w:rsidRDefault="00AB25FC">
            <w:pPr>
              <w:spacing w:after="0"/>
              <w:ind w:firstLine="0"/>
              <w:jc w:val="center"/>
              <w:rPr>
                <w:sz w:val="20"/>
                <w:szCs w:val="20"/>
              </w:rPr>
            </w:pPr>
            <w:r>
              <w:rPr>
                <w:sz w:val="20"/>
                <w:szCs w:val="20"/>
              </w:rPr>
              <w:t>2,16</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cleaner</w:t>
            </w:r>
            <w:proofErr w:type="spellEnd"/>
            <w:r>
              <w:rPr>
                <w:sz w:val="20"/>
                <w:szCs w:val="20"/>
              </w:rPr>
              <w:t xml:space="preserve"> </w:t>
            </w:r>
            <w:proofErr w:type="spellStart"/>
            <w:r>
              <w:rPr>
                <w:sz w:val="20"/>
                <w:szCs w:val="20"/>
              </w:rPr>
              <w:t>production</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11,10</w:t>
            </w:r>
          </w:p>
        </w:tc>
        <w:tc>
          <w:tcPr>
            <w:tcW w:w="709" w:type="dxa"/>
            <w:shd w:val="clear" w:color="auto" w:fill="auto"/>
            <w:vAlign w:val="center"/>
          </w:tcPr>
          <w:p w:rsidR="00D03F78" w:rsidRDefault="00AB25FC">
            <w:pPr>
              <w:spacing w:after="0"/>
              <w:ind w:firstLine="0"/>
              <w:jc w:val="center"/>
              <w:rPr>
                <w:sz w:val="20"/>
                <w:szCs w:val="20"/>
              </w:rPr>
            </w:pPr>
            <w:r>
              <w:rPr>
                <w:sz w:val="20"/>
                <w:szCs w:val="20"/>
              </w:rPr>
              <w:t>1,53</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business</w:t>
            </w:r>
            <w:proofErr w:type="spellEnd"/>
            <w:r>
              <w:rPr>
                <w:sz w:val="20"/>
                <w:szCs w:val="20"/>
              </w:rPr>
              <w:t xml:space="preserve"> </w:t>
            </w:r>
            <w:proofErr w:type="spellStart"/>
            <w:r>
              <w:rPr>
                <w:sz w:val="20"/>
                <w:szCs w:val="20"/>
              </w:rPr>
              <w:t>research</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10,96</w:t>
            </w:r>
          </w:p>
        </w:tc>
        <w:tc>
          <w:tcPr>
            <w:tcW w:w="709" w:type="dxa"/>
            <w:shd w:val="clear" w:color="auto" w:fill="auto"/>
            <w:vAlign w:val="center"/>
          </w:tcPr>
          <w:p w:rsidR="00D03F78" w:rsidRDefault="00AB25FC">
            <w:pPr>
              <w:spacing w:after="0"/>
              <w:ind w:firstLine="0"/>
              <w:jc w:val="center"/>
              <w:rPr>
                <w:sz w:val="20"/>
                <w:szCs w:val="20"/>
              </w:rPr>
            </w:pPr>
            <w:r>
              <w:rPr>
                <w:sz w:val="20"/>
                <w:szCs w:val="20"/>
              </w:rPr>
              <w:t>2,14</w:t>
            </w:r>
          </w:p>
        </w:tc>
        <w:tc>
          <w:tcPr>
            <w:tcW w:w="425" w:type="dxa"/>
            <w:shd w:val="clear" w:color="auto" w:fill="auto"/>
            <w:vAlign w:val="center"/>
          </w:tcPr>
          <w:p w:rsidR="00D03F78" w:rsidRDefault="00AB25FC">
            <w:pPr>
              <w:spacing w:after="0"/>
              <w:ind w:firstLine="0"/>
              <w:jc w:val="center"/>
              <w:rPr>
                <w:sz w:val="20"/>
                <w:szCs w:val="20"/>
              </w:rPr>
            </w:pPr>
            <w:r>
              <w:rPr>
                <w:sz w:val="20"/>
                <w:szCs w:val="20"/>
              </w:rPr>
              <w:t>10</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Technological forecasting and social change</w:t>
            </w:r>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10,88</w:t>
            </w:r>
          </w:p>
        </w:tc>
        <w:tc>
          <w:tcPr>
            <w:tcW w:w="709" w:type="dxa"/>
            <w:shd w:val="clear" w:color="auto" w:fill="auto"/>
            <w:vAlign w:val="center"/>
          </w:tcPr>
          <w:p w:rsidR="00D03F78" w:rsidRDefault="00AB25FC">
            <w:pPr>
              <w:spacing w:after="0"/>
              <w:ind w:firstLine="0"/>
              <w:jc w:val="center"/>
              <w:rPr>
                <w:sz w:val="20"/>
                <w:szCs w:val="20"/>
              </w:rPr>
            </w:pPr>
            <w:r>
              <w:rPr>
                <w:sz w:val="20"/>
                <w:szCs w:val="20"/>
              </w:rPr>
              <w:t>2,40</w:t>
            </w:r>
          </w:p>
        </w:tc>
        <w:tc>
          <w:tcPr>
            <w:tcW w:w="425" w:type="dxa"/>
            <w:shd w:val="clear" w:color="auto" w:fill="auto"/>
            <w:vAlign w:val="center"/>
          </w:tcPr>
          <w:p w:rsidR="00D03F78" w:rsidRDefault="00AB25FC">
            <w:pPr>
              <w:spacing w:after="0"/>
              <w:ind w:firstLine="0"/>
              <w:jc w:val="center"/>
              <w:rPr>
                <w:sz w:val="20"/>
                <w:szCs w:val="20"/>
              </w:rPr>
            </w:pPr>
            <w:r>
              <w:rPr>
                <w:sz w:val="20"/>
                <w:szCs w:val="20"/>
              </w:rPr>
              <w:t>4</w:t>
            </w:r>
          </w:p>
        </w:tc>
        <w:tc>
          <w:tcPr>
            <w:tcW w:w="850" w:type="dxa"/>
            <w:vAlign w:val="center"/>
          </w:tcPr>
          <w:p w:rsidR="00D03F78" w:rsidRDefault="00AB25FC">
            <w:pPr>
              <w:spacing w:after="0"/>
              <w:ind w:firstLine="0"/>
              <w:jc w:val="center"/>
              <w:rPr>
                <w:sz w:val="20"/>
                <w:szCs w:val="20"/>
              </w:rPr>
            </w:pPr>
            <w:r>
              <w:rPr>
                <w:sz w:val="20"/>
                <w:szCs w:val="20"/>
              </w:rPr>
              <w:t>5,13</w:t>
            </w:r>
          </w:p>
        </w:tc>
      </w:tr>
      <w:tr w:rsidR="00D03F78">
        <w:trPr>
          <w:trHeight w:val="7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lastRenderedPageBreak/>
              <w:t>Business strategy and the environment</w:t>
            </w:r>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10,80</w:t>
            </w:r>
          </w:p>
        </w:tc>
        <w:tc>
          <w:tcPr>
            <w:tcW w:w="709" w:type="dxa"/>
            <w:shd w:val="clear" w:color="auto" w:fill="auto"/>
            <w:vAlign w:val="center"/>
          </w:tcPr>
          <w:p w:rsidR="00D03F78" w:rsidRDefault="00AB25FC">
            <w:pPr>
              <w:spacing w:after="0"/>
              <w:ind w:firstLine="0"/>
              <w:jc w:val="center"/>
              <w:rPr>
                <w:sz w:val="20"/>
                <w:szCs w:val="20"/>
              </w:rPr>
            </w:pPr>
            <w:r>
              <w:rPr>
                <w:sz w:val="20"/>
                <w:szCs w:val="20"/>
              </w:rPr>
              <w:t>2,21</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Resources</w:t>
            </w:r>
            <w:proofErr w:type="spellEnd"/>
            <w:r>
              <w:rPr>
                <w:sz w:val="20"/>
                <w:szCs w:val="20"/>
              </w:rPr>
              <w:t xml:space="preserve"> </w:t>
            </w:r>
            <w:proofErr w:type="spellStart"/>
            <w:r>
              <w:rPr>
                <w:sz w:val="20"/>
                <w:szCs w:val="20"/>
              </w:rPr>
              <w:t>policy</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10,20</w:t>
            </w:r>
          </w:p>
        </w:tc>
        <w:tc>
          <w:tcPr>
            <w:tcW w:w="709" w:type="dxa"/>
            <w:shd w:val="clear" w:color="auto" w:fill="auto"/>
            <w:vAlign w:val="center"/>
          </w:tcPr>
          <w:p w:rsidR="00D03F78" w:rsidRDefault="00AB25FC">
            <w:pPr>
              <w:spacing w:after="0"/>
              <w:ind w:firstLine="0"/>
              <w:jc w:val="center"/>
              <w:rPr>
                <w:sz w:val="20"/>
                <w:szCs w:val="20"/>
              </w:rPr>
            </w:pPr>
            <w:r>
              <w:rPr>
                <w:sz w:val="20"/>
                <w:szCs w:val="20"/>
              </w:rPr>
              <w:t>2,07</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r>
              <w:rPr>
                <w:sz w:val="20"/>
                <w:szCs w:val="20"/>
              </w:rPr>
              <w:t xml:space="preserve">Industrial marketing </w:t>
            </w:r>
            <w:proofErr w:type="spellStart"/>
            <w:r>
              <w:rPr>
                <w:sz w:val="20"/>
                <w:szCs w:val="20"/>
              </w:rPr>
              <w:t>management</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8,890</w:t>
            </w:r>
          </w:p>
        </w:tc>
        <w:tc>
          <w:tcPr>
            <w:tcW w:w="709" w:type="dxa"/>
            <w:shd w:val="clear" w:color="auto" w:fill="auto"/>
            <w:vAlign w:val="center"/>
          </w:tcPr>
          <w:p w:rsidR="00D03F78" w:rsidRDefault="00AB25FC">
            <w:pPr>
              <w:spacing w:after="0"/>
              <w:ind w:firstLine="0"/>
              <w:jc w:val="center"/>
              <w:rPr>
                <w:sz w:val="20"/>
                <w:szCs w:val="20"/>
              </w:rPr>
            </w:pPr>
            <w:r>
              <w:rPr>
                <w:sz w:val="20"/>
                <w:szCs w:val="20"/>
              </w:rPr>
              <w:t>1,86</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world</w:t>
            </w:r>
            <w:proofErr w:type="spellEnd"/>
            <w:r>
              <w:rPr>
                <w:sz w:val="20"/>
                <w:szCs w:val="20"/>
              </w:rPr>
              <w:t xml:space="preserve"> </w:t>
            </w:r>
            <w:proofErr w:type="spellStart"/>
            <w:r>
              <w:rPr>
                <w:sz w:val="20"/>
                <w:szCs w:val="20"/>
              </w:rPr>
              <w:t>business</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8,635</w:t>
            </w:r>
          </w:p>
        </w:tc>
        <w:tc>
          <w:tcPr>
            <w:tcW w:w="709" w:type="dxa"/>
            <w:shd w:val="clear" w:color="auto" w:fill="auto"/>
            <w:vAlign w:val="center"/>
          </w:tcPr>
          <w:p w:rsidR="00D03F78" w:rsidRDefault="00AB25FC">
            <w:pPr>
              <w:spacing w:after="0"/>
              <w:ind w:firstLine="0"/>
              <w:jc w:val="center"/>
              <w:rPr>
                <w:sz w:val="20"/>
                <w:szCs w:val="20"/>
              </w:rPr>
            </w:pPr>
            <w:r>
              <w:rPr>
                <w:sz w:val="20"/>
                <w:szCs w:val="20"/>
              </w:rPr>
              <w:t>1,91</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r>
              <w:rPr>
                <w:sz w:val="20"/>
                <w:szCs w:val="20"/>
              </w:rPr>
              <w:t xml:space="preserve">International </w:t>
            </w:r>
            <w:proofErr w:type="spellStart"/>
            <w:r>
              <w:rPr>
                <w:sz w:val="20"/>
                <w:szCs w:val="20"/>
              </w:rPr>
              <w:t>business</w:t>
            </w:r>
            <w:proofErr w:type="spellEnd"/>
            <w:r>
              <w:rPr>
                <w:sz w:val="20"/>
                <w:szCs w:val="20"/>
              </w:rPr>
              <w:t xml:space="preserve"> </w:t>
            </w:r>
            <w:proofErr w:type="spellStart"/>
            <w:r>
              <w:rPr>
                <w:sz w:val="20"/>
                <w:szCs w:val="20"/>
              </w:rPr>
              <w:t>review</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8,047</w:t>
            </w:r>
          </w:p>
        </w:tc>
        <w:tc>
          <w:tcPr>
            <w:tcW w:w="709" w:type="dxa"/>
            <w:shd w:val="clear" w:color="auto" w:fill="auto"/>
            <w:vAlign w:val="center"/>
          </w:tcPr>
          <w:p w:rsidR="00D03F78" w:rsidRDefault="00AB25FC">
            <w:pPr>
              <w:spacing w:after="0"/>
              <w:ind w:firstLine="0"/>
              <w:jc w:val="center"/>
              <w:rPr>
                <w:sz w:val="20"/>
                <w:szCs w:val="20"/>
              </w:rPr>
            </w:pPr>
            <w:r>
              <w:rPr>
                <w:sz w:val="20"/>
                <w:szCs w:val="20"/>
              </w:rPr>
              <w:t>1,46</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rPr>
            </w:pPr>
            <w:r>
              <w:rPr>
                <w:sz w:val="20"/>
                <w:szCs w:val="20"/>
              </w:rPr>
              <w:t>2,56</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Tourism</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perspectives</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7,608</w:t>
            </w:r>
          </w:p>
        </w:tc>
        <w:tc>
          <w:tcPr>
            <w:tcW w:w="709" w:type="dxa"/>
            <w:shd w:val="clear" w:color="auto" w:fill="auto"/>
            <w:vAlign w:val="center"/>
          </w:tcPr>
          <w:p w:rsidR="00D03F78" w:rsidRDefault="00AB25FC">
            <w:pPr>
              <w:spacing w:after="0"/>
              <w:ind w:firstLine="0"/>
              <w:jc w:val="center"/>
              <w:rPr>
                <w:sz w:val="20"/>
                <w:szCs w:val="20"/>
              </w:rPr>
            </w:pPr>
            <w:r>
              <w:rPr>
                <w:sz w:val="20"/>
                <w:szCs w:val="20"/>
              </w:rPr>
              <w:t>1,87</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Technology</w:t>
            </w:r>
            <w:proofErr w:type="spellEnd"/>
            <w:r>
              <w:rPr>
                <w:sz w:val="20"/>
                <w:szCs w:val="20"/>
              </w:rPr>
              <w:t xml:space="preserve"> in </w:t>
            </w:r>
            <w:proofErr w:type="spellStart"/>
            <w:r>
              <w:rPr>
                <w:sz w:val="20"/>
                <w:szCs w:val="20"/>
              </w:rPr>
              <w:t>Society</w:t>
            </w:r>
            <w:proofErr w:type="spellEnd"/>
          </w:p>
        </w:tc>
        <w:tc>
          <w:tcPr>
            <w:tcW w:w="709" w:type="dxa"/>
            <w:shd w:val="clear" w:color="auto" w:fill="auto"/>
            <w:vAlign w:val="center"/>
          </w:tcPr>
          <w:p w:rsidR="00D03F78" w:rsidRDefault="00AB25FC">
            <w:pPr>
              <w:spacing w:after="0"/>
              <w:ind w:firstLine="0"/>
              <w:jc w:val="center"/>
              <w:rPr>
                <w:sz w:val="20"/>
                <w:szCs w:val="20"/>
                <w:highlight w:val="yellow"/>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highlight w:val="yellow"/>
              </w:rPr>
            </w:pPr>
            <w:r>
              <w:rPr>
                <w:sz w:val="20"/>
                <w:szCs w:val="20"/>
              </w:rPr>
              <w:t>6,879</w:t>
            </w:r>
          </w:p>
        </w:tc>
        <w:tc>
          <w:tcPr>
            <w:tcW w:w="709" w:type="dxa"/>
            <w:shd w:val="clear" w:color="auto" w:fill="auto"/>
            <w:vAlign w:val="center"/>
          </w:tcPr>
          <w:p w:rsidR="00D03F78" w:rsidRDefault="00AB25FC">
            <w:pPr>
              <w:spacing w:after="0"/>
              <w:ind w:firstLine="0"/>
              <w:jc w:val="center"/>
              <w:rPr>
                <w:sz w:val="20"/>
                <w:szCs w:val="20"/>
                <w:highlight w:val="yellow"/>
              </w:rPr>
            </w:pPr>
            <w:r>
              <w:rPr>
                <w:sz w:val="20"/>
                <w:szCs w:val="20"/>
              </w:rPr>
              <w:t>2,99</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highlight w:val="yellow"/>
              </w:rPr>
            </w:pPr>
            <w:r>
              <w:rPr>
                <w:sz w:val="20"/>
                <w:szCs w:val="20"/>
              </w:rPr>
              <w:t>2,56</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World</w:t>
            </w:r>
            <w:proofErr w:type="spellEnd"/>
            <w:r>
              <w:rPr>
                <w:sz w:val="20"/>
                <w:szCs w:val="20"/>
              </w:rPr>
              <w:t xml:space="preserve"> </w:t>
            </w:r>
            <w:proofErr w:type="spellStart"/>
            <w:r>
              <w:rPr>
                <w:sz w:val="20"/>
                <w:szCs w:val="20"/>
              </w:rPr>
              <w:t>development</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6,678</w:t>
            </w:r>
          </w:p>
        </w:tc>
        <w:tc>
          <w:tcPr>
            <w:tcW w:w="709" w:type="dxa"/>
            <w:shd w:val="clear" w:color="auto" w:fill="auto"/>
            <w:vAlign w:val="center"/>
          </w:tcPr>
          <w:p w:rsidR="00D03F78" w:rsidRDefault="00AB25FC">
            <w:pPr>
              <w:spacing w:after="0"/>
              <w:ind w:firstLine="0"/>
              <w:jc w:val="center"/>
              <w:rPr>
                <w:sz w:val="20"/>
                <w:szCs w:val="20"/>
              </w:rPr>
            </w:pPr>
            <w:r>
              <w:rPr>
                <w:sz w:val="20"/>
                <w:szCs w:val="20"/>
              </w:rPr>
              <w:t>2,11</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Entrepreneurship</w:t>
            </w:r>
            <w:proofErr w:type="spellEnd"/>
            <w:r>
              <w:rPr>
                <w:sz w:val="20"/>
                <w:szCs w:val="20"/>
              </w:rPr>
              <w:t xml:space="preserve"> and regional </w:t>
            </w:r>
            <w:proofErr w:type="spellStart"/>
            <w:r>
              <w:rPr>
                <w:sz w:val="20"/>
                <w:szCs w:val="20"/>
              </w:rPr>
              <w:t>development</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6,408</w:t>
            </w:r>
          </w:p>
        </w:tc>
        <w:tc>
          <w:tcPr>
            <w:tcW w:w="709" w:type="dxa"/>
            <w:shd w:val="clear" w:color="auto" w:fill="auto"/>
            <w:vAlign w:val="center"/>
          </w:tcPr>
          <w:p w:rsidR="00D03F78" w:rsidRDefault="00AB25FC">
            <w:pPr>
              <w:spacing w:after="0"/>
              <w:ind w:firstLine="0"/>
              <w:jc w:val="center"/>
              <w:rPr>
                <w:sz w:val="20"/>
                <w:szCs w:val="20"/>
              </w:rPr>
            </w:pPr>
            <w:r>
              <w:rPr>
                <w:sz w:val="20"/>
                <w:szCs w:val="20"/>
              </w:rPr>
              <w:t>1,36</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7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corporate</w:t>
            </w:r>
            <w:proofErr w:type="spellEnd"/>
            <w:r>
              <w:rPr>
                <w:sz w:val="20"/>
                <w:szCs w:val="20"/>
              </w:rPr>
              <w:t xml:space="preserve"> </w:t>
            </w:r>
            <w:proofErr w:type="spellStart"/>
            <w:r>
              <w:rPr>
                <w:sz w:val="20"/>
                <w:szCs w:val="20"/>
              </w:rPr>
              <w:t>finance</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6,100</w:t>
            </w:r>
          </w:p>
        </w:tc>
        <w:tc>
          <w:tcPr>
            <w:tcW w:w="709" w:type="dxa"/>
            <w:shd w:val="clear" w:color="auto" w:fill="auto"/>
            <w:vAlign w:val="center"/>
          </w:tcPr>
          <w:p w:rsidR="00D03F78" w:rsidRDefault="00AB25FC">
            <w:pPr>
              <w:spacing w:after="0"/>
              <w:ind w:firstLine="0"/>
              <w:jc w:val="center"/>
              <w:rPr>
                <w:sz w:val="20"/>
                <w:szCs w:val="20"/>
              </w:rPr>
            </w:pPr>
            <w:r>
              <w:rPr>
                <w:sz w:val="20"/>
                <w:szCs w:val="20"/>
              </w:rPr>
              <w:t>1,68</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Environmental</w:t>
            </w:r>
            <w:proofErr w:type="spellEnd"/>
            <w:r>
              <w:rPr>
                <w:sz w:val="20"/>
                <w:szCs w:val="20"/>
              </w:rPr>
              <w:t xml:space="preserve"> </w:t>
            </w:r>
            <w:proofErr w:type="spellStart"/>
            <w:r>
              <w:rPr>
                <w:sz w:val="20"/>
                <w:szCs w:val="20"/>
              </w:rPr>
              <w:t>science</w:t>
            </w:r>
            <w:proofErr w:type="spellEnd"/>
            <w:r>
              <w:rPr>
                <w:sz w:val="20"/>
                <w:szCs w:val="20"/>
              </w:rPr>
              <w:t xml:space="preserve"> &amp; </w:t>
            </w:r>
            <w:proofErr w:type="spellStart"/>
            <w:r>
              <w:rPr>
                <w:sz w:val="20"/>
                <w:szCs w:val="20"/>
              </w:rPr>
              <w:t>policy</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6,000</w:t>
            </w:r>
          </w:p>
        </w:tc>
        <w:tc>
          <w:tcPr>
            <w:tcW w:w="709" w:type="dxa"/>
            <w:shd w:val="clear" w:color="auto" w:fill="auto"/>
            <w:vAlign w:val="center"/>
          </w:tcPr>
          <w:p w:rsidR="00D03F78" w:rsidRDefault="00AB25FC">
            <w:pPr>
              <w:spacing w:after="0"/>
              <w:ind w:firstLine="0"/>
              <w:jc w:val="center"/>
              <w:rPr>
                <w:sz w:val="20"/>
                <w:szCs w:val="20"/>
              </w:rPr>
            </w:pPr>
            <w:r>
              <w:rPr>
                <w:sz w:val="20"/>
                <w:szCs w:val="20"/>
              </w:rPr>
              <w:t>1,04</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Annals</w:t>
            </w:r>
            <w:proofErr w:type="spellEnd"/>
            <w:r>
              <w:rPr>
                <w:sz w:val="20"/>
                <w:szCs w:val="20"/>
              </w:rPr>
              <w:t xml:space="preserve"> of </w:t>
            </w:r>
            <w:proofErr w:type="spellStart"/>
            <w:r>
              <w:rPr>
                <w:sz w:val="20"/>
                <w:szCs w:val="20"/>
              </w:rPr>
              <w:t>operations</w:t>
            </w:r>
            <w:proofErr w:type="spellEnd"/>
            <w:r>
              <w:rPr>
                <w:sz w:val="20"/>
                <w:szCs w:val="20"/>
              </w:rPr>
              <w:t xml:space="preserve"> </w:t>
            </w:r>
            <w:proofErr w:type="spellStart"/>
            <w:r>
              <w:rPr>
                <w:sz w:val="20"/>
                <w:szCs w:val="20"/>
              </w:rPr>
              <w:t>research</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4,800</w:t>
            </w:r>
          </w:p>
        </w:tc>
        <w:tc>
          <w:tcPr>
            <w:tcW w:w="709" w:type="dxa"/>
            <w:shd w:val="clear" w:color="auto" w:fill="auto"/>
            <w:vAlign w:val="center"/>
          </w:tcPr>
          <w:p w:rsidR="00D03F78" w:rsidRDefault="00AB25FC">
            <w:pPr>
              <w:spacing w:after="0"/>
              <w:ind w:firstLine="0"/>
              <w:jc w:val="center"/>
              <w:rPr>
                <w:sz w:val="20"/>
                <w:szCs w:val="20"/>
              </w:rPr>
            </w:pPr>
            <w:r>
              <w:rPr>
                <w:sz w:val="20"/>
                <w:szCs w:val="20"/>
              </w:rPr>
              <w:t>1,00</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European</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review</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4,220</w:t>
            </w:r>
          </w:p>
        </w:tc>
        <w:tc>
          <w:tcPr>
            <w:tcW w:w="709" w:type="dxa"/>
            <w:shd w:val="clear" w:color="auto" w:fill="auto"/>
            <w:vAlign w:val="center"/>
          </w:tcPr>
          <w:p w:rsidR="00D03F78" w:rsidRDefault="00AB25FC">
            <w:pPr>
              <w:spacing w:after="0"/>
              <w:ind w:firstLine="0"/>
              <w:jc w:val="center"/>
              <w:rPr>
                <w:sz w:val="20"/>
                <w:szCs w:val="20"/>
              </w:rPr>
            </w:pPr>
            <w:r>
              <w:rPr>
                <w:sz w:val="20"/>
                <w:szCs w:val="20"/>
              </w:rPr>
              <w:t>1,24</w:t>
            </w:r>
          </w:p>
        </w:tc>
        <w:tc>
          <w:tcPr>
            <w:tcW w:w="425" w:type="dxa"/>
            <w:shd w:val="clear" w:color="auto" w:fill="auto"/>
            <w:vAlign w:val="center"/>
          </w:tcPr>
          <w:p w:rsidR="00D03F78" w:rsidRDefault="00AB25FC">
            <w:pPr>
              <w:spacing w:after="0"/>
              <w:ind w:firstLine="0"/>
              <w:jc w:val="center"/>
              <w:rPr>
                <w:sz w:val="20"/>
                <w:szCs w:val="20"/>
              </w:rPr>
            </w:pPr>
            <w:r>
              <w:rPr>
                <w:sz w:val="20"/>
                <w:szCs w:val="20"/>
              </w:rPr>
              <w:t>4</w:t>
            </w:r>
          </w:p>
        </w:tc>
        <w:tc>
          <w:tcPr>
            <w:tcW w:w="850" w:type="dxa"/>
            <w:vAlign w:val="center"/>
          </w:tcPr>
          <w:p w:rsidR="00D03F78" w:rsidRDefault="00AB25FC">
            <w:pPr>
              <w:spacing w:after="0"/>
              <w:ind w:firstLine="0"/>
              <w:jc w:val="center"/>
              <w:rPr>
                <w:sz w:val="20"/>
                <w:szCs w:val="20"/>
              </w:rPr>
            </w:pPr>
            <w:r>
              <w:rPr>
                <w:sz w:val="20"/>
                <w:szCs w:val="20"/>
              </w:rPr>
              <w:t>5,13</w:t>
            </w:r>
          </w:p>
        </w:tc>
      </w:tr>
      <w:tr w:rsidR="00D03F78">
        <w:trPr>
          <w:trHeight w:val="8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Journal of ethnic and migration studies</w:t>
            </w:r>
          </w:p>
        </w:tc>
        <w:tc>
          <w:tcPr>
            <w:tcW w:w="709" w:type="dxa"/>
            <w:shd w:val="clear" w:color="auto" w:fill="auto"/>
            <w:vAlign w:val="center"/>
          </w:tcPr>
          <w:p w:rsidR="00D03F78" w:rsidRDefault="00AB25FC">
            <w:pPr>
              <w:spacing w:after="0"/>
              <w:ind w:firstLine="0"/>
              <w:jc w:val="center"/>
              <w:rPr>
                <w:sz w:val="20"/>
                <w:szCs w:val="20"/>
              </w:rPr>
            </w:pPr>
            <w:r>
              <w:rPr>
                <w:sz w:val="20"/>
                <w:szCs w:val="20"/>
              </w:rPr>
              <w:t>Q1</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3,300</w:t>
            </w:r>
          </w:p>
        </w:tc>
        <w:tc>
          <w:tcPr>
            <w:tcW w:w="709" w:type="dxa"/>
            <w:shd w:val="clear" w:color="auto" w:fill="auto"/>
            <w:vAlign w:val="center"/>
          </w:tcPr>
          <w:p w:rsidR="00D03F78" w:rsidRDefault="00AB25FC">
            <w:pPr>
              <w:spacing w:after="0"/>
              <w:ind w:firstLine="0"/>
              <w:jc w:val="center"/>
              <w:rPr>
                <w:sz w:val="20"/>
                <w:szCs w:val="20"/>
              </w:rPr>
            </w:pPr>
            <w:r>
              <w:rPr>
                <w:sz w:val="20"/>
                <w:szCs w:val="20"/>
              </w:rPr>
              <w:t>1,60</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r>
              <w:rPr>
                <w:sz w:val="20"/>
                <w:szCs w:val="20"/>
              </w:rPr>
              <w:t xml:space="preserve">Small Business </w:t>
            </w:r>
            <w:proofErr w:type="spellStart"/>
            <w:r>
              <w:rPr>
                <w:sz w:val="20"/>
                <w:szCs w:val="20"/>
              </w:rPr>
              <w:t>Economics</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7,096</w:t>
            </w:r>
          </w:p>
        </w:tc>
        <w:tc>
          <w:tcPr>
            <w:tcW w:w="709" w:type="dxa"/>
            <w:shd w:val="clear" w:color="auto" w:fill="auto"/>
            <w:vAlign w:val="center"/>
          </w:tcPr>
          <w:p w:rsidR="00D03F78" w:rsidRDefault="00AB25FC">
            <w:pPr>
              <w:spacing w:after="0"/>
              <w:ind w:firstLine="0"/>
              <w:jc w:val="center"/>
              <w:rPr>
                <w:sz w:val="20"/>
                <w:szCs w:val="20"/>
              </w:rPr>
            </w:pPr>
            <w:r>
              <w:rPr>
                <w:sz w:val="20"/>
                <w:szCs w:val="20"/>
              </w:rPr>
              <w:t>1,93</w:t>
            </w:r>
          </w:p>
        </w:tc>
        <w:tc>
          <w:tcPr>
            <w:tcW w:w="425" w:type="dxa"/>
            <w:shd w:val="clear" w:color="auto" w:fill="auto"/>
            <w:vAlign w:val="center"/>
          </w:tcPr>
          <w:p w:rsidR="00D03F78" w:rsidRDefault="00AB25FC">
            <w:pPr>
              <w:spacing w:after="0"/>
              <w:ind w:firstLine="0"/>
              <w:jc w:val="center"/>
              <w:rPr>
                <w:sz w:val="20"/>
                <w:szCs w:val="20"/>
              </w:rPr>
            </w:pPr>
            <w:r>
              <w:rPr>
                <w:sz w:val="20"/>
                <w:szCs w:val="20"/>
              </w:rPr>
              <w:t>10</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r>
              <w:rPr>
                <w:sz w:val="20"/>
                <w:szCs w:val="20"/>
              </w:rPr>
              <w:t xml:space="preserve">British </w:t>
            </w:r>
            <w:proofErr w:type="spellStart"/>
            <w:r>
              <w:rPr>
                <w:sz w:val="20"/>
                <w:szCs w:val="20"/>
              </w:rPr>
              <w:t>journal</w:t>
            </w:r>
            <w:proofErr w:type="spellEnd"/>
            <w:r>
              <w:rPr>
                <w:sz w:val="20"/>
                <w:szCs w:val="20"/>
              </w:rPr>
              <w:t xml:space="preserve"> of </w:t>
            </w:r>
            <w:proofErr w:type="spellStart"/>
            <w:r>
              <w:rPr>
                <w:sz w:val="20"/>
                <w:szCs w:val="20"/>
              </w:rPr>
              <w:t>management</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7,450</w:t>
            </w:r>
          </w:p>
        </w:tc>
        <w:tc>
          <w:tcPr>
            <w:tcW w:w="709" w:type="dxa"/>
            <w:shd w:val="clear" w:color="auto" w:fill="auto"/>
            <w:vAlign w:val="center"/>
          </w:tcPr>
          <w:p w:rsidR="00D03F78" w:rsidRDefault="00AB25FC">
            <w:pPr>
              <w:spacing w:after="0"/>
              <w:ind w:firstLine="0"/>
              <w:jc w:val="center"/>
              <w:rPr>
                <w:sz w:val="20"/>
                <w:szCs w:val="20"/>
              </w:rPr>
            </w:pPr>
            <w:r>
              <w:rPr>
                <w:sz w:val="20"/>
                <w:szCs w:val="20"/>
              </w:rPr>
              <w:t>1,37</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r>
              <w:rPr>
                <w:sz w:val="20"/>
                <w:szCs w:val="20"/>
              </w:rPr>
              <w:t xml:space="preserve">Business &amp; </w:t>
            </w:r>
            <w:proofErr w:type="spellStart"/>
            <w:r>
              <w:rPr>
                <w:sz w:val="20"/>
                <w:szCs w:val="20"/>
              </w:rPr>
              <w:t>Society</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6,740</w:t>
            </w:r>
          </w:p>
        </w:tc>
        <w:tc>
          <w:tcPr>
            <w:tcW w:w="709" w:type="dxa"/>
            <w:shd w:val="clear" w:color="auto" w:fill="auto"/>
            <w:vAlign w:val="center"/>
          </w:tcPr>
          <w:p w:rsidR="00D03F78" w:rsidRDefault="00AB25FC">
            <w:pPr>
              <w:spacing w:after="0"/>
              <w:ind w:firstLine="0"/>
              <w:jc w:val="center"/>
              <w:rPr>
                <w:sz w:val="20"/>
                <w:szCs w:val="20"/>
              </w:rPr>
            </w:pPr>
            <w:r>
              <w:rPr>
                <w:sz w:val="20"/>
                <w:szCs w:val="20"/>
              </w:rPr>
              <w:t>1,57</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Pr="00AB25FC" w:rsidRDefault="00AB25FC">
            <w:pPr>
              <w:spacing w:after="0"/>
              <w:ind w:firstLine="0"/>
              <w:rPr>
                <w:sz w:val="20"/>
                <w:szCs w:val="20"/>
                <w:lang w:val="en-US"/>
              </w:rPr>
            </w:pPr>
            <w:bookmarkStart w:id="3" w:name="_heading=h.1fob9te" w:colFirst="0" w:colLast="0"/>
            <w:bookmarkEnd w:id="3"/>
            <w:r w:rsidRPr="00AB25FC">
              <w:rPr>
                <w:sz w:val="20"/>
                <w:szCs w:val="20"/>
                <w:lang w:val="en-US"/>
              </w:rPr>
              <w:t>Int. entrepreneurship and management journal</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6,150</w:t>
            </w:r>
          </w:p>
        </w:tc>
        <w:tc>
          <w:tcPr>
            <w:tcW w:w="709" w:type="dxa"/>
            <w:shd w:val="clear" w:color="auto" w:fill="auto"/>
            <w:vAlign w:val="center"/>
          </w:tcPr>
          <w:p w:rsidR="00D03F78" w:rsidRDefault="00AB25FC">
            <w:pPr>
              <w:spacing w:after="0"/>
              <w:ind w:firstLine="0"/>
              <w:jc w:val="center"/>
              <w:rPr>
                <w:sz w:val="20"/>
                <w:szCs w:val="20"/>
              </w:rPr>
            </w:pPr>
            <w:r>
              <w:rPr>
                <w:sz w:val="20"/>
                <w:szCs w:val="20"/>
              </w:rPr>
              <w:t>1,35</w:t>
            </w:r>
          </w:p>
        </w:tc>
        <w:tc>
          <w:tcPr>
            <w:tcW w:w="425" w:type="dxa"/>
            <w:shd w:val="clear" w:color="auto" w:fill="auto"/>
            <w:vAlign w:val="center"/>
          </w:tcPr>
          <w:p w:rsidR="00D03F78" w:rsidRDefault="00AB25FC">
            <w:pPr>
              <w:spacing w:after="0"/>
              <w:ind w:firstLine="0"/>
              <w:jc w:val="center"/>
              <w:rPr>
                <w:sz w:val="20"/>
                <w:szCs w:val="20"/>
              </w:rPr>
            </w:pPr>
            <w:r>
              <w:rPr>
                <w:sz w:val="20"/>
                <w:szCs w:val="20"/>
              </w:rPr>
              <w:t>6</w:t>
            </w:r>
          </w:p>
        </w:tc>
        <w:tc>
          <w:tcPr>
            <w:tcW w:w="850" w:type="dxa"/>
            <w:vAlign w:val="center"/>
          </w:tcPr>
          <w:p w:rsidR="00D03F78" w:rsidRDefault="00AB25FC">
            <w:pPr>
              <w:spacing w:after="0"/>
              <w:ind w:firstLine="0"/>
              <w:jc w:val="center"/>
              <w:rPr>
                <w:sz w:val="20"/>
                <w:szCs w:val="20"/>
              </w:rPr>
            </w:pPr>
            <w:r>
              <w:rPr>
                <w:sz w:val="20"/>
                <w:szCs w:val="20"/>
              </w:rPr>
              <w:t>7,69</w:t>
            </w:r>
          </w:p>
        </w:tc>
      </w:tr>
      <w:tr w:rsidR="00D03F78">
        <w:trPr>
          <w:trHeight w:val="193"/>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Journal of family business strategy</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6,114</w:t>
            </w:r>
          </w:p>
        </w:tc>
        <w:tc>
          <w:tcPr>
            <w:tcW w:w="709" w:type="dxa"/>
            <w:shd w:val="clear" w:color="auto" w:fill="auto"/>
            <w:vAlign w:val="center"/>
          </w:tcPr>
          <w:p w:rsidR="00D03F78" w:rsidRDefault="00AB25FC">
            <w:pPr>
              <w:spacing w:after="0"/>
              <w:ind w:firstLine="0"/>
              <w:jc w:val="center"/>
              <w:rPr>
                <w:sz w:val="20"/>
                <w:szCs w:val="20"/>
              </w:rPr>
            </w:pPr>
            <w:r>
              <w:rPr>
                <w:sz w:val="20"/>
                <w:szCs w:val="20"/>
              </w:rPr>
              <w:t>1,19</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Int. journal of human resource management</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6,026</w:t>
            </w:r>
          </w:p>
        </w:tc>
        <w:tc>
          <w:tcPr>
            <w:tcW w:w="709" w:type="dxa"/>
            <w:shd w:val="clear" w:color="auto" w:fill="auto"/>
            <w:vAlign w:val="center"/>
          </w:tcPr>
          <w:p w:rsidR="00D03F78" w:rsidRDefault="00AB25FC">
            <w:pPr>
              <w:spacing w:after="0"/>
              <w:ind w:firstLine="0"/>
              <w:jc w:val="center"/>
              <w:rPr>
                <w:sz w:val="20"/>
                <w:szCs w:val="20"/>
              </w:rPr>
            </w:pPr>
            <w:r>
              <w:rPr>
                <w:sz w:val="20"/>
                <w:szCs w:val="20"/>
              </w:rPr>
              <w:t>1,35</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Pr="00AB25FC" w:rsidRDefault="00AB25FC">
            <w:pPr>
              <w:spacing w:after="0"/>
              <w:ind w:firstLine="0"/>
              <w:rPr>
                <w:sz w:val="20"/>
                <w:szCs w:val="20"/>
                <w:lang w:val="en-US"/>
              </w:rPr>
            </w:pPr>
            <w:proofErr w:type="spellStart"/>
            <w:r w:rsidRPr="00AB25FC">
              <w:rPr>
                <w:sz w:val="20"/>
                <w:szCs w:val="20"/>
                <w:lang w:val="en-US"/>
              </w:rPr>
              <w:t>Int</w:t>
            </w:r>
            <w:proofErr w:type="spellEnd"/>
            <w:r w:rsidRPr="00AB25FC">
              <w:rPr>
                <w:sz w:val="20"/>
                <w:szCs w:val="20"/>
                <w:lang w:val="en-US"/>
              </w:rPr>
              <w:t xml:space="preserve"> journal of entrepreneurial behavior &amp; research</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5,995</w:t>
            </w:r>
          </w:p>
        </w:tc>
        <w:tc>
          <w:tcPr>
            <w:tcW w:w="709" w:type="dxa"/>
            <w:shd w:val="clear" w:color="auto" w:fill="auto"/>
            <w:vAlign w:val="center"/>
          </w:tcPr>
          <w:p w:rsidR="00D03F78" w:rsidRDefault="00AB25FC">
            <w:pPr>
              <w:spacing w:after="0"/>
              <w:ind w:firstLine="0"/>
              <w:jc w:val="center"/>
              <w:rPr>
                <w:sz w:val="20"/>
                <w:szCs w:val="20"/>
              </w:rPr>
            </w:pPr>
            <w:r>
              <w:rPr>
                <w:sz w:val="20"/>
                <w:szCs w:val="20"/>
              </w:rPr>
              <w:t>1,17</w:t>
            </w:r>
          </w:p>
        </w:tc>
        <w:tc>
          <w:tcPr>
            <w:tcW w:w="425" w:type="dxa"/>
            <w:shd w:val="clear" w:color="auto" w:fill="auto"/>
            <w:vAlign w:val="center"/>
          </w:tcPr>
          <w:p w:rsidR="00D03F78" w:rsidRDefault="00AB25FC">
            <w:pPr>
              <w:spacing w:after="0"/>
              <w:ind w:firstLine="0"/>
              <w:jc w:val="center"/>
              <w:rPr>
                <w:sz w:val="20"/>
                <w:szCs w:val="20"/>
              </w:rPr>
            </w:pPr>
            <w:r>
              <w:rPr>
                <w:sz w:val="20"/>
                <w:szCs w:val="20"/>
              </w:rPr>
              <w:t>8</w:t>
            </w:r>
          </w:p>
        </w:tc>
        <w:tc>
          <w:tcPr>
            <w:tcW w:w="850" w:type="dxa"/>
            <w:vAlign w:val="center"/>
          </w:tcPr>
          <w:p w:rsidR="00D03F78" w:rsidRDefault="00AB25FC">
            <w:pPr>
              <w:spacing w:after="0"/>
              <w:ind w:firstLine="0"/>
              <w:jc w:val="center"/>
              <w:rPr>
                <w:sz w:val="20"/>
                <w:szCs w:val="20"/>
              </w:rPr>
            </w:pPr>
            <w:r>
              <w:rPr>
                <w:sz w:val="20"/>
                <w:szCs w:val="20"/>
              </w:rPr>
              <w:t>10,2</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r>
              <w:rPr>
                <w:sz w:val="20"/>
                <w:szCs w:val="20"/>
              </w:rPr>
              <w:t>Management decisión</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5,589</w:t>
            </w:r>
          </w:p>
        </w:tc>
        <w:tc>
          <w:tcPr>
            <w:tcW w:w="709" w:type="dxa"/>
            <w:shd w:val="clear" w:color="auto" w:fill="auto"/>
            <w:vAlign w:val="center"/>
          </w:tcPr>
          <w:p w:rsidR="00D03F78" w:rsidRDefault="00AB25FC">
            <w:pPr>
              <w:spacing w:after="0"/>
              <w:ind w:firstLine="0"/>
              <w:jc w:val="center"/>
              <w:rPr>
                <w:sz w:val="20"/>
                <w:szCs w:val="20"/>
              </w:rPr>
            </w:pPr>
            <w:r>
              <w:rPr>
                <w:sz w:val="20"/>
                <w:szCs w:val="20"/>
              </w:rPr>
              <w:t>1,12</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rPr>
            </w:pPr>
            <w:r>
              <w:rPr>
                <w:sz w:val="20"/>
                <w:szCs w:val="20"/>
              </w:rPr>
              <w:t>2,56</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technology</w:t>
            </w:r>
            <w:proofErr w:type="spellEnd"/>
            <w:r>
              <w:rPr>
                <w:sz w:val="20"/>
                <w:szCs w:val="20"/>
              </w:rPr>
              <w:t xml:space="preserve"> transfer</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5,337</w:t>
            </w:r>
          </w:p>
        </w:tc>
        <w:tc>
          <w:tcPr>
            <w:tcW w:w="709" w:type="dxa"/>
            <w:shd w:val="clear" w:color="auto" w:fill="auto"/>
            <w:vAlign w:val="center"/>
          </w:tcPr>
          <w:p w:rsidR="00D03F78" w:rsidRDefault="00AB25FC">
            <w:pPr>
              <w:spacing w:after="0"/>
              <w:ind w:firstLine="0"/>
              <w:jc w:val="center"/>
              <w:rPr>
                <w:sz w:val="20"/>
                <w:szCs w:val="20"/>
              </w:rPr>
            </w:pPr>
            <w:r>
              <w:rPr>
                <w:sz w:val="20"/>
                <w:szCs w:val="20"/>
              </w:rPr>
              <w:t>1,11</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rPr>
            </w:pPr>
            <w:r>
              <w:rPr>
                <w:sz w:val="20"/>
                <w:szCs w:val="20"/>
              </w:rPr>
              <w:t>2,56</w:t>
            </w:r>
          </w:p>
        </w:tc>
      </w:tr>
      <w:tr w:rsidR="00D03F78">
        <w:trPr>
          <w:trHeight w:val="80"/>
          <w:jc w:val="center"/>
        </w:trPr>
        <w:tc>
          <w:tcPr>
            <w:tcW w:w="4820" w:type="dxa"/>
            <w:shd w:val="clear" w:color="auto" w:fill="auto"/>
            <w:vAlign w:val="center"/>
          </w:tcPr>
          <w:p w:rsidR="00D03F78" w:rsidRPr="00AB25FC" w:rsidRDefault="00AB25FC">
            <w:pPr>
              <w:spacing w:after="0"/>
              <w:ind w:firstLine="0"/>
              <w:rPr>
                <w:sz w:val="20"/>
                <w:szCs w:val="20"/>
                <w:lang w:val="en-US"/>
              </w:rPr>
            </w:pPr>
            <w:r w:rsidRPr="00AB25FC">
              <w:rPr>
                <w:sz w:val="20"/>
                <w:szCs w:val="20"/>
                <w:lang w:val="en-US"/>
              </w:rPr>
              <w:t>European journal of work and organizational psychology</w:t>
            </w:r>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4,867</w:t>
            </w:r>
          </w:p>
        </w:tc>
        <w:tc>
          <w:tcPr>
            <w:tcW w:w="709" w:type="dxa"/>
            <w:shd w:val="clear" w:color="auto" w:fill="auto"/>
            <w:vAlign w:val="center"/>
          </w:tcPr>
          <w:p w:rsidR="00D03F78" w:rsidRDefault="00AB25FC">
            <w:pPr>
              <w:spacing w:after="0"/>
              <w:ind w:firstLine="0"/>
              <w:jc w:val="center"/>
              <w:rPr>
                <w:sz w:val="20"/>
                <w:szCs w:val="20"/>
              </w:rPr>
            </w:pPr>
            <w:r>
              <w:rPr>
                <w:sz w:val="20"/>
                <w:szCs w:val="20"/>
              </w:rPr>
              <w:t>1,00</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r>
              <w:rPr>
                <w:sz w:val="20"/>
                <w:szCs w:val="20"/>
              </w:rPr>
              <w:t>Socio-</w:t>
            </w:r>
            <w:proofErr w:type="spellStart"/>
            <w:r>
              <w:rPr>
                <w:sz w:val="20"/>
                <w:szCs w:val="20"/>
              </w:rPr>
              <w:t>economic</w:t>
            </w:r>
            <w:proofErr w:type="spellEnd"/>
            <w:r>
              <w:rPr>
                <w:sz w:val="20"/>
                <w:szCs w:val="20"/>
              </w:rPr>
              <w:t xml:space="preserve"> </w:t>
            </w:r>
            <w:proofErr w:type="spellStart"/>
            <w:r>
              <w:rPr>
                <w:sz w:val="20"/>
                <w:szCs w:val="20"/>
              </w:rPr>
              <w:t>planning</w:t>
            </w:r>
            <w:proofErr w:type="spellEnd"/>
            <w:r>
              <w:rPr>
                <w:sz w:val="20"/>
                <w:szCs w:val="20"/>
              </w:rPr>
              <w:t xml:space="preserve"> </w:t>
            </w:r>
            <w:proofErr w:type="spellStart"/>
            <w:r>
              <w:rPr>
                <w:sz w:val="20"/>
                <w:szCs w:val="20"/>
              </w:rPr>
              <w:t>sciences</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4,641</w:t>
            </w:r>
          </w:p>
        </w:tc>
        <w:tc>
          <w:tcPr>
            <w:tcW w:w="709" w:type="dxa"/>
            <w:shd w:val="clear" w:color="auto" w:fill="auto"/>
            <w:vAlign w:val="center"/>
          </w:tcPr>
          <w:p w:rsidR="00D03F78" w:rsidRDefault="00AB25FC">
            <w:pPr>
              <w:spacing w:after="0"/>
              <w:ind w:firstLine="0"/>
              <w:jc w:val="center"/>
              <w:rPr>
                <w:sz w:val="20"/>
                <w:szCs w:val="20"/>
              </w:rPr>
            </w:pPr>
            <w:r>
              <w:rPr>
                <w:sz w:val="20"/>
                <w:szCs w:val="20"/>
              </w:rPr>
              <w:t>1,30</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rPr>
            </w:pPr>
            <w:r>
              <w:rPr>
                <w:sz w:val="20"/>
                <w:szCs w:val="20"/>
              </w:rPr>
              <w:t>2,56</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bookmarkStart w:id="4" w:name="_heading=h.3znysh7" w:colFirst="0" w:colLast="0"/>
            <w:bookmarkEnd w:id="4"/>
            <w:r>
              <w:rPr>
                <w:sz w:val="20"/>
                <w:szCs w:val="20"/>
              </w:rPr>
              <w:t xml:space="preserve">Regional </w:t>
            </w:r>
            <w:proofErr w:type="spellStart"/>
            <w:r>
              <w:rPr>
                <w:sz w:val="20"/>
                <w:szCs w:val="20"/>
              </w:rPr>
              <w:t>studies</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4,595</w:t>
            </w:r>
          </w:p>
        </w:tc>
        <w:tc>
          <w:tcPr>
            <w:tcW w:w="709" w:type="dxa"/>
            <w:shd w:val="clear" w:color="auto" w:fill="auto"/>
            <w:vAlign w:val="center"/>
          </w:tcPr>
          <w:p w:rsidR="00D03F78" w:rsidRDefault="00AB25FC">
            <w:pPr>
              <w:spacing w:after="0"/>
              <w:ind w:firstLine="0"/>
              <w:jc w:val="center"/>
              <w:rPr>
                <w:sz w:val="20"/>
                <w:szCs w:val="20"/>
              </w:rPr>
            </w:pPr>
            <w:r>
              <w:rPr>
                <w:sz w:val="20"/>
                <w:szCs w:val="20"/>
              </w:rPr>
              <w:t>1,32</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international</w:t>
            </w:r>
            <w:proofErr w:type="spellEnd"/>
            <w:r>
              <w:rPr>
                <w:sz w:val="20"/>
                <w:szCs w:val="20"/>
              </w:rPr>
              <w:t xml:space="preserve"> </w:t>
            </w:r>
            <w:proofErr w:type="spellStart"/>
            <w:r>
              <w:rPr>
                <w:sz w:val="20"/>
                <w:szCs w:val="20"/>
              </w:rPr>
              <w:t>entrepreneurship</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Q2</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3,300</w:t>
            </w:r>
          </w:p>
        </w:tc>
        <w:tc>
          <w:tcPr>
            <w:tcW w:w="709" w:type="dxa"/>
            <w:shd w:val="clear" w:color="auto" w:fill="auto"/>
            <w:vAlign w:val="center"/>
          </w:tcPr>
          <w:p w:rsidR="00D03F78" w:rsidRDefault="00AB25FC">
            <w:pPr>
              <w:spacing w:after="0"/>
              <w:ind w:firstLine="0"/>
              <w:jc w:val="center"/>
              <w:rPr>
                <w:sz w:val="20"/>
                <w:szCs w:val="20"/>
              </w:rPr>
            </w:pPr>
            <w:r>
              <w:rPr>
                <w:sz w:val="20"/>
                <w:szCs w:val="20"/>
              </w:rPr>
              <w:t>0,63</w:t>
            </w:r>
          </w:p>
        </w:tc>
        <w:tc>
          <w:tcPr>
            <w:tcW w:w="425" w:type="dxa"/>
            <w:shd w:val="clear" w:color="auto" w:fill="auto"/>
            <w:vAlign w:val="center"/>
          </w:tcPr>
          <w:p w:rsidR="00D03F78" w:rsidRDefault="00AB25FC">
            <w:pPr>
              <w:spacing w:after="0"/>
              <w:ind w:firstLine="0"/>
              <w:jc w:val="center"/>
              <w:rPr>
                <w:sz w:val="20"/>
                <w:szCs w:val="20"/>
              </w:rPr>
            </w:pPr>
            <w:r>
              <w:rPr>
                <w:sz w:val="20"/>
                <w:szCs w:val="20"/>
              </w:rPr>
              <w:t>2</w:t>
            </w:r>
          </w:p>
        </w:tc>
        <w:tc>
          <w:tcPr>
            <w:tcW w:w="850" w:type="dxa"/>
            <w:vAlign w:val="center"/>
          </w:tcPr>
          <w:p w:rsidR="00D03F78" w:rsidRDefault="00AB25FC">
            <w:pPr>
              <w:spacing w:after="0"/>
              <w:ind w:firstLine="0"/>
              <w:jc w:val="center"/>
              <w:rPr>
                <w:sz w:val="20"/>
                <w:szCs w:val="20"/>
              </w:rPr>
            </w:pPr>
            <w:r>
              <w:rPr>
                <w:sz w:val="20"/>
                <w:szCs w:val="20"/>
              </w:rPr>
              <w:t>2,56</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Food</w:t>
            </w:r>
            <w:proofErr w:type="spellEnd"/>
            <w:r>
              <w:rPr>
                <w:sz w:val="20"/>
                <w:szCs w:val="20"/>
              </w:rPr>
              <w:t xml:space="preserve"> </w:t>
            </w:r>
            <w:proofErr w:type="spellStart"/>
            <w:r>
              <w:rPr>
                <w:sz w:val="20"/>
                <w:szCs w:val="20"/>
              </w:rPr>
              <w:t>science</w:t>
            </w:r>
            <w:proofErr w:type="spellEnd"/>
            <w:r>
              <w:rPr>
                <w:sz w:val="20"/>
                <w:szCs w:val="20"/>
              </w:rPr>
              <w:t xml:space="preserve"> and </w:t>
            </w:r>
            <w:proofErr w:type="spellStart"/>
            <w:r>
              <w:rPr>
                <w:sz w:val="20"/>
                <w:szCs w:val="20"/>
              </w:rPr>
              <w:t>technology</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Q3</w:t>
            </w:r>
          </w:p>
        </w:tc>
        <w:tc>
          <w:tcPr>
            <w:tcW w:w="850" w:type="dxa"/>
            <w:vAlign w:val="center"/>
          </w:tcPr>
          <w:p w:rsidR="00D03F78" w:rsidRDefault="00AB25FC">
            <w:pPr>
              <w:spacing w:after="0"/>
              <w:ind w:firstLine="0"/>
              <w:jc w:val="center"/>
              <w:rPr>
                <w:sz w:val="20"/>
                <w:szCs w:val="20"/>
              </w:rPr>
            </w:pPr>
            <w:r>
              <w:rPr>
                <w:sz w:val="20"/>
                <w:szCs w:val="20"/>
              </w:rPr>
              <w:t>Q1</w:t>
            </w:r>
          </w:p>
        </w:tc>
        <w:tc>
          <w:tcPr>
            <w:tcW w:w="709" w:type="dxa"/>
            <w:shd w:val="clear" w:color="auto" w:fill="auto"/>
            <w:vAlign w:val="center"/>
          </w:tcPr>
          <w:p w:rsidR="00D03F78" w:rsidRDefault="00AB25FC">
            <w:pPr>
              <w:spacing w:after="0"/>
              <w:ind w:firstLine="0"/>
              <w:jc w:val="center"/>
              <w:rPr>
                <w:sz w:val="20"/>
                <w:szCs w:val="20"/>
              </w:rPr>
            </w:pPr>
            <w:r>
              <w:rPr>
                <w:sz w:val="20"/>
                <w:szCs w:val="20"/>
              </w:rPr>
              <w:t>2,602</w:t>
            </w:r>
          </w:p>
        </w:tc>
        <w:tc>
          <w:tcPr>
            <w:tcW w:w="709" w:type="dxa"/>
            <w:shd w:val="clear" w:color="auto" w:fill="auto"/>
            <w:vAlign w:val="center"/>
          </w:tcPr>
          <w:p w:rsidR="00D03F78" w:rsidRDefault="00AB25FC">
            <w:pPr>
              <w:spacing w:after="0"/>
              <w:ind w:firstLine="0"/>
              <w:jc w:val="center"/>
              <w:rPr>
                <w:sz w:val="20"/>
                <w:szCs w:val="20"/>
              </w:rPr>
            </w:pPr>
            <w:r>
              <w:rPr>
                <w:sz w:val="20"/>
                <w:szCs w:val="20"/>
              </w:rPr>
              <w:t>0,48</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80"/>
          <w:jc w:val="center"/>
        </w:trPr>
        <w:tc>
          <w:tcPr>
            <w:tcW w:w="4820" w:type="dxa"/>
            <w:shd w:val="clear" w:color="auto" w:fill="auto"/>
            <w:vAlign w:val="center"/>
          </w:tcPr>
          <w:p w:rsidR="00D03F78" w:rsidRDefault="00AB25FC">
            <w:pPr>
              <w:spacing w:after="0"/>
              <w:ind w:firstLine="0"/>
              <w:rPr>
                <w:sz w:val="20"/>
                <w:szCs w:val="20"/>
              </w:rPr>
            </w:pPr>
            <w:proofErr w:type="spellStart"/>
            <w:r>
              <w:rPr>
                <w:sz w:val="20"/>
                <w:szCs w:val="20"/>
              </w:rPr>
              <w:t>Journal</w:t>
            </w:r>
            <w:proofErr w:type="spellEnd"/>
            <w:r>
              <w:rPr>
                <w:sz w:val="20"/>
                <w:szCs w:val="20"/>
              </w:rPr>
              <w:t xml:space="preserve"> of </w:t>
            </w:r>
            <w:proofErr w:type="spellStart"/>
            <w:r>
              <w:rPr>
                <w:sz w:val="20"/>
                <w:szCs w:val="20"/>
              </w:rPr>
              <w:t>macromarketing</w:t>
            </w:r>
            <w:proofErr w:type="spellEnd"/>
          </w:p>
        </w:tc>
        <w:tc>
          <w:tcPr>
            <w:tcW w:w="709" w:type="dxa"/>
            <w:shd w:val="clear" w:color="auto" w:fill="auto"/>
            <w:vAlign w:val="center"/>
          </w:tcPr>
          <w:p w:rsidR="00D03F78" w:rsidRDefault="00AB25FC">
            <w:pPr>
              <w:spacing w:after="0"/>
              <w:ind w:firstLine="0"/>
              <w:jc w:val="center"/>
              <w:rPr>
                <w:sz w:val="20"/>
                <w:szCs w:val="20"/>
              </w:rPr>
            </w:pPr>
            <w:r>
              <w:rPr>
                <w:sz w:val="20"/>
                <w:szCs w:val="20"/>
              </w:rPr>
              <w:t>Q4</w:t>
            </w:r>
          </w:p>
        </w:tc>
        <w:tc>
          <w:tcPr>
            <w:tcW w:w="850" w:type="dxa"/>
            <w:vAlign w:val="center"/>
          </w:tcPr>
          <w:p w:rsidR="00D03F78" w:rsidRDefault="00AB25FC">
            <w:pPr>
              <w:spacing w:after="0"/>
              <w:ind w:firstLine="0"/>
              <w:jc w:val="center"/>
              <w:rPr>
                <w:sz w:val="20"/>
                <w:szCs w:val="20"/>
              </w:rPr>
            </w:pPr>
            <w:r>
              <w:rPr>
                <w:sz w:val="20"/>
                <w:szCs w:val="20"/>
              </w:rPr>
              <w:t>Q2</w:t>
            </w:r>
          </w:p>
        </w:tc>
        <w:tc>
          <w:tcPr>
            <w:tcW w:w="709" w:type="dxa"/>
            <w:shd w:val="clear" w:color="auto" w:fill="auto"/>
            <w:vAlign w:val="center"/>
          </w:tcPr>
          <w:p w:rsidR="00D03F78" w:rsidRDefault="00AB25FC">
            <w:pPr>
              <w:spacing w:after="0"/>
              <w:ind w:firstLine="0"/>
              <w:jc w:val="center"/>
              <w:rPr>
                <w:sz w:val="20"/>
                <w:szCs w:val="20"/>
              </w:rPr>
            </w:pPr>
            <w:r>
              <w:rPr>
                <w:sz w:val="20"/>
                <w:szCs w:val="20"/>
              </w:rPr>
              <w:t>1,979</w:t>
            </w:r>
          </w:p>
        </w:tc>
        <w:tc>
          <w:tcPr>
            <w:tcW w:w="709" w:type="dxa"/>
            <w:shd w:val="clear" w:color="auto" w:fill="auto"/>
            <w:vAlign w:val="center"/>
          </w:tcPr>
          <w:p w:rsidR="00D03F78" w:rsidRDefault="00AB25FC">
            <w:pPr>
              <w:spacing w:after="0"/>
              <w:ind w:firstLine="0"/>
              <w:jc w:val="center"/>
              <w:rPr>
                <w:sz w:val="20"/>
                <w:szCs w:val="20"/>
              </w:rPr>
            </w:pPr>
            <w:r>
              <w:rPr>
                <w:sz w:val="20"/>
                <w:szCs w:val="20"/>
              </w:rPr>
              <w:t>0,55</w:t>
            </w:r>
          </w:p>
        </w:tc>
        <w:tc>
          <w:tcPr>
            <w:tcW w:w="425" w:type="dxa"/>
            <w:shd w:val="clear" w:color="auto" w:fill="auto"/>
            <w:vAlign w:val="center"/>
          </w:tcPr>
          <w:p w:rsidR="00D03F78" w:rsidRDefault="00AB25FC">
            <w:pPr>
              <w:spacing w:after="0"/>
              <w:ind w:firstLine="0"/>
              <w:jc w:val="center"/>
              <w:rPr>
                <w:sz w:val="20"/>
                <w:szCs w:val="20"/>
              </w:rPr>
            </w:pPr>
            <w:r>
              <w:rPr>
                <w:sz w:val="20"/>
                <w:szCs w:val="20"/>
              </w:rPr>
              <w:t>1</w:t>
            </w:r>
          </w:p>
        </w:tc>
        <w:tc>
          <w:tcPr>
            <w:tcW w:w="850" w:type="dxa"/>
            <w:vAlign w:val="center"/>
          </w:tcPr>
          <w:p w:rsidR="00D03F78" w:rsidRDefault="00AB25FC">
            <w:pPr>
              <w:spacing w:after="0"/>
              <w:ind w:firstLine="0"/>
              <w:jc w:val="center"/>
              <w:rPr>
                <w:sz w:val="20"/>
                <w:szCs w:val="20"/>
              </w:rPr>
            </w:pPr>
            <w:r>
              <w:rPr>
                <w:sz w:val="20"/>
                <w:szCs w:val="20"/>
              </w:rPr>
              <w:t>1,28</w:t>
            </w:r>
          </w:p>
        </w:tc>
      </w:tr>
      <w:tr w:rsidR="00D03F78">
        <w:trPr>
          <w:trHeight w:val="300"/>
          <w:jc w:val="center"/>
        </w:trPr>
        <w:tc>
          <w:tcPr>
            <w:tcW w:w="4820" w:type="dxa"/>
            <w:tcBorders>
              <w:top w:val="single" w:sz="4" w:space="0" w:color="000000"/>
            </w:tcBorders>
            <w:shd w:val="clear" w:color="auto" w:fill="auto"/>
            <w:vAlign w:val="center"/>
          </w:tcPr>
          <w:p w:rsidR="00D03F78" w:rsidRDefault="00AB25FC">
            <w:pPr>
              <w:spacing w:after="0"/>
              <w:ind w:firstLine="0"/>
              <w:rPr>
                <w:sz w:val="20"/>
                <w:szCs w:val="20"/>
                <w:highlight w:val="yellow"/>
              </w:rPr>
            </w:pPr>
            <w:r>
              <w:rPr>
                <w:sz w:val="20"/>
                <w:szCs w:val="20"/>
              </w:rPr>
              <w:t>Total</w:t>
            </w:r>
          </w:p>
        </w:tc>
        <w:tc>
          <w:tcPr>
            <w:tcW w:w="709" w:type="dxa"/>
            <w:tcBorders>
              <w:top w:val="single" w:sz="4" w:space="0" w:color="000000"/>
            </w:tcBorders>
            <w:shd w:val="clear" w:color="auto" w:fill="auto"/>
            <w:vAlign w:val="center"/>
          </w:tcPr>
          <w:p w:rsidR="00D03F78" w:rsidRDefault="00D03F78">
            <w:pPr>
              <w:spacing w:after="0"/>
              <w:ind w:firstLine="0"/>
              <w:jc w:val="center"/>
              <w:rPr>
                <w:sz w:val="20"/>
                <w:szCs w:val="20"/>
                <w:highlight w:val="yellow"/>
              </w:rPr>
            </w:pPr>
          </w:p>
        </w:tc>
        <w:tc>
          <w:tcPr>
            <w:tcW w:w="850" w:type="dxa"/>
            <w:tcBorders>
              <w:top w:val="single" w:sz="4" w:space="0" w:color="000000"/>
            </w:tcBorders>
            <w:vAlign w:val="center"/>
          </w:tcPr>
          <w:p w:rsidR="00D03F78" w:rsidRDefault="00D03F78">
            <w:pPr>
              <w:spacing w:after="0"/>
              <w:ind w:firstLine="0"/>
              <w:jc w:val="center"/>
              <w:rPr>
                <w:sz w:val="20"/>
                <w:szCs w:val="20"/>
                <w:highlight w:val="yellow"/>
              </w:rPr>
            </w:pPr>
          </w:p>
        </w:tc>
        <w:tc>
          <w:tcPr>
            <w:tcW w:w="709" w:type="dxa"/>
            <w:tcBorders>
              <w:top w:val="single" w:sz="4" w:space="0" w:color="000000"/>
            </w:tcBorders>
            <w:shd w:val="clear" w:color="auto" w:fill="auto"/>
            <w:vAlign w:val="center"/>
          </w:tcPr>
          <w:p w:rsidR="00D03F78" w:rsidRDefault="00D03F78">
            <w:pPr>
              <w:spacing w:after="0"/>
              <w:ind w:firstLine="0"/>
              <w:jc w:val="center"/>
              <w:rPr>
                <w:sz w:val="20"/>
                <w:szCs w:val="20"/>
                <w:highlight w:val="yellow"/>
              </w:rPr>
            </w:pPr>
          </w:p>
        </w:tc>
        <w:tc>
          <w:tcPr>
            <w:tcW w:w="709" w:type="dxa"/>
            <w:tcBorders>
              <w:top w:val="single" w:sz="4" w:space="0" w:color="000000"/>
            </w:tcBorders>
            <w:shd w:val="clear" w:color="auto" w:fill="auto"/>
            <w:vAlign w:val="center"/>
          </w:tcPr>
          <w:p w:rsidR="00D03F78" w:rsidRDefault="00D03F78">
            <w:pPr>
              <w:spacing w:after="0"/>
              <w:ind w:firstLine="0"/>
              <w:jc w:val="center"/>
              <w:rPr>
                <w:sz w:val="20"/>
                <w:szCs w:val="20"/>
                <w:highlight w:val="yellow"/>
              </w:rPr>
            </w:pPr>
          </w:p>
        </w:tc>
        <w:tc>
          <w:tcPr>
            <w:tcW w:w="425" w:type="dxa"/>
            <w:tcBorders>
              <w:top w:val="single" w:sz="4" w:space="0" w:color="000000"/>
            </w:tcBorders>
            <w:shd w:val="clear" w:color="auto" w:fill="auto"/>
            <w:vAlign w:val="center"/>
          </w:tcPr>
          <w:p w:rsidR="00D03F78" w:rsidRDefault="00AB25FC">
            <w:pPr>
              <w:spacing w:after="0"/>
              <w:ind w:firstLine="0"/>
              <w:jc w:val="center"/>
              <w:rPr>
                <w:sz w:val="20"/>
                <w:szCs w:val="20"/>
                <w:highlight w:val="yellow"/>
              </w:rPr>
            </w:pPr>
            <w:r>
              <w:rPr>
                <w:sz w:val="20"/>
                <w:szCs w:val="20"/>
              </w:rPr>
              <w:t>78</w:t>
            </w:r>
          </w:p>
        </w:tc>
        <w:tc>
          <w:tcPr>
            <w:tcW w:w="850" w:type="dxa"/>
            <w:tcBorders>
              <w:top w:val="single" w:sz="4" w:space="0" w:color="000000"/>
            </w:tcBorders>
            <w:vAlign w:val="center"/>
          </w:tcPr>
          <w:p w:rsidR="00D03F78" w:rsidRDefault="00AB25FC">
            <w:pPr>
              <w:spacing w:after="0"/>
              <w:ind w:firstLine="0"/>
              <w:jc w:val="center"/>
              <w:rPr>
                <w:sz w:val="20"/>
                <w:szCs w:val="20"/>
              </w:rPr>
            </w:pPr>
            <w:r>
              <w:rPr>
                <w:sz w:val="20"/>
                <w:szCs w:val="20"/>
              </w:rPr>
              <w:t>100</w:t>
            </w:r>
          </w:p>
        </w:tc>
      </w:tr>
    </w:tbl>
    <w:p w:rsidR="00D03F78" w:rsidRDefault="00AB25FC">
      <w:pPr>
        <w:ind w:firstLine="0"/>
        <w:rPr>
          <w:sz w:val="22"/>
          <w:szCs w:val="22"/>
        </w:rPr>
      </w:pPr>
      <w:r>
        <w:rPr>
          <w:sz w:val="22"/>
          <w:szCs w:val="22"/>
        </w:rPr>
        <w:t>Fuente: Elaborado a partir de los cuartiles creados por JCR 2022 y SJR 2022</w:t>
      </w:r>
    </w:p>
    <w:p w:rsidR="00D03F78" w:rsidRDefault="00AB25FC">
      <w:r>
        <w:t>Del mismo modo, en la tabla 1 se observan las consultas realizadas por categorías de revistas según JCR, donde las revistas situadas en Q1 aportaron el 48,72 % de las publicaciones analizadas, las revistas clasificadas en Q2 aportaron el mayor porcentaje de artículos al estudio con un 48,72 % y las revistas ubicadas en las categorías Q3 y Q4 aportaron el restante 2,56 % de las publicaciones analizadas en este estudio. Por lo que, se puede evidenciar el interés por publicar artículos relacionados con el “</w:t>
      </w:r>
      <w:proofErr w:type="spellStart"/>
      <w:r>
        <w:t>entrepreneur</w:t>
      </w:r>
      <w:proofErr w:type="spellEnd"/>
      <w:r>
        <w:t xml:space="preserve">* and GEM Project” en revistas científicas </w:t>
      </w:r>
      <w:r>
        <w:lastRenderedPageBreak/>
        <w:t>internacionales de primer nivel, relacionadas con áreas como el emprendimiento, la gestión, la educación, la psicología y los estudios de investigación libres.</w:t>
      </w:r>
    </w:p>
    <w:p w:rsidR="00D03F78" w:rsidRDefault="00AB25FC">
      <w:pPr>
        <w:pStyle w:val="Ttulo2"/>
      </w:pPr>
      <w:r>
        <w:t>Figura 2</w:t>
      </w:r>
    </w:p>
    <w:p w:rsidR="00D03F78" w:rsidRDefault="00AB25FC">
      <w:pPr>
        <w:ind w:firstLine="0"/>
        <w:rPr>
          <w:i/>
        </w:rPr>
      </w:pPr>
      <w:r>
        <w:rPr>
          <w:i/>
        </w:rPr>
        <w:t>Número de publicaciones anuales sobre temas relacionados con el tema de investigación</w:t>
      </w:r>
    </w:p>
    <w:p w:rsidR="00D03F78" w:rsidRDefault="00AB25FC">
      <w:pPr>
        <w:ind w:firstLine="0"/>
      </w:pPr>
      <w:r>
        <w:rPr>
          <w:noProof/>
          <w:lang w:val="en-US"/>
        </w:rPr>
        <w:drawing>
          <wp:inline distT="0" distB="0" distL="0" distR="0">
            <wp:extent cx="5378450" cy="1689100"/>
            <wp:effectExtent l="0" t="0" r="0" b="0"/>
            <wp:docPr id="2040841831" name="Gráfico 20408418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3F78" w:rsidRDefault="00D03F78"/>
    <w:p w:rsidR="00D03F78" w:rsidRDefault="00AB25FC">
      <w:r>
        <w:t xml:space="preserve">Ahora bien, en la figura 2 se presentó la evolución de las publicaciones producto de la investigación sobre emprendimiento del proyecto GEM en los últimos cinco años. Se observa una tendencia al aumento en el número de publicaciones, pasando de registrar 8 artículos pertinentes en 2018 a registrar 24 artículos para el 2020. Aunque en 2021 disminuyó a 15 artículos pertinentes registrados, en 2022 se registró un nuevo incremento a 17 publicaciones directamente asociadas con la temática en análisis. Lo que evidencia un patrón de mantener el número de publicaciones de interés y relevancia sobre el emprendimiento. Asimismo, se resaltó la importancia de investigar y seguir difundiendo los hallazgos en este campo a través de revistas científicas reconocidas a nivel internacional, por su alto factor de impacto. </w:t>
      </w:r>
    </w:p>
    <w:p w:rsidR="00D03F78" w:rsidRDefault="00AB25FC">
      <w:r>
        <w:t>Del mismo modo, los artículos también se clasificaron según las regiones y los países en los que se realizaron los estudios. Esto se pudo observar en la figura 3, donde los países europeos y latinoamericanos son los que tienen una mayor presencia en los estudios realizados, seguido por los países asiáticos y norteamericanos, y con menor presencia en las investigaciones se encuentran los países africanos y de Oceanía. Ahora bien, a nivel país los que tienen más participación en los estudios analizados son Reino Unido (73 %), Alemania (73 %), España (70 %), Chile (68 %), Eslovenia (68 %) y Estados Unidos (68 %), seguidos por Brasil (67 %), China (67 %), Italia (67 %), Grecia (67 %), Croacia (67 %) y Colombia (65 %). Destacándose entre los países con mayor aporte a las investigaciones sobre emprendimiento siete países europeos, cuatro países americanos y un país asiático.</w:t>
      </w:r>
    </w:p>
    <w:p w:rsidR="00D03F78" w:rsidRDefault="00AB25FC">
      <w:pPr>
        <w:pStyle w:val="Ttulo2"/>
      </w:pPr>
      <w:r>
        <w:lastRenderedPageBreak/>
        <w:t>Figura 3</w:t>
      </w:r>
    </w:p>
    <w:p w:rsidR="00D03F78" w:rsidRDefault="00AB25FC">
      <w:pPr>
        <w:ind w:firstLine="0"/>
        <w:rPr>
          <w:i/>
        </w:rPr>
      </w:pPr>
      <w:r>
        <w:rPr>
          <w:i/>
        </w:rPr>
        <w:t>Número de investigaciones por países y regiones</w:t>
      </w:r>
    </w:p>
    <w:p w:rsidR="00D03F78" w:rsidRDefault="00AB25FC">
      <w:pPr>
        <w:ind w:firstLine="0"/>
        <w:rPr>
          <w:i/>
        </w:rPr>
      </w:pPr>
      <w:r>
        <w:rPr>
          <w:noProof/>
          <w:lang w:val="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wp:posOffset>
            </wp:positionV>
            <wp:extent cx="2808000" cy="1764000"/>
            <wp:effectExtent l="0" t="0" r="0" b="0"/>
            <wp:wrapNone/>
            <wp:docPr id="2040841833" name="Gráfico 20408418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2801620</wp:posOffset>
            </wp:positionH>
            <wp:positionV relativeFrom="paragraph">
              <wp:posOffset>3810</wp:posOffset>
            </wp:positionV>
            <wp:extent cx="2808000" cy="1764000"/>
            <wp:effectExtent l="0" t="0" r="0" b="0"/>
            <wp:wrapNone/>
            <wp:docPr id="2040841834" name="Gráfico 20408418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03F78" w:rsidRDefault="00D03F78">
      <w:pPr>
        <w:ind w:firstLine="0"/>
        <w:rPr>
          <w:i/>
        </w:rPr>
      </w:pPr>
    </w:p>
    <w:p w:rsidR="00D03F78" w:rsidRDefault="00D03F78"/>
    <w:p w:rsidR="00D03F78" w:rsidRDefault="00D03F78"/>
    <w:p w:rsidR="00D03F78" w:rsidRDefault="00D03F78"/>
    <w:p w:rsidR="00D03F78" w:rsidRDefault="00AB25FC">
      <w:r>
        <w:rPr>
          <w:noProof/>
          <w:lang w:val="en-US"/>
        </w:rPr>
        <w:drawing>
          <wp:anchor distT="0" distB="0" distL="0" distR="0" simplePos="0" relativeHeight="251661312" behindDoc="1" locked="0" layoutInCell="1" hidden="0" allowOverlap="1">
            <wp:simplePos x="0" y="0"/>
            <wp:positionH relativeFrom="column">
              <wp:posOffset>2796540</wp:posOffset>
            </wp:positionH>
            <wp:positionV relativeFrom="paragraph">
              <wp:posOffset>75565</wp:posOffset>
            </wp:positionV>
            <wp:extent cx="2808000" cy="1764000"/>
            <wp:effectExtent l="0" t="0" r="0" b="0"/>
            <wp:wrapNone/>
            <wp:docPr id="2040841835" name="Gráfico 20408418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val="en-US"/>
        </w:rPr>
        <w:drawing>
          <wp:anchor distT="0" distB="0" distL="0" distR="0" simplePos="0" relativeHeight="251662336" behindDoc="1" locked="0" layoutInCell="1" hidden="0" allowOverlap="1">
            <wp:simplePos x="0" y="0"/>
            <wp:positionH relativeFrom="column">
              <wp:posOffset>0</wp:posOffset>
            </wp:positionH>
            <wp:positionV relativeFrom="paragraph">
              <wp:posOffset>73660</wp:posOffset>
            </wp:positionV>
            <wp:extent cx="2808000" cy="1764000"/>
            <wp:effectExtent l="0" t="0" r="0" b="0"/>
            <wp:wrapNone/>
            <wp:docPr id="2040841832" name="Gráfico 20408418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03F78" w:rsidRDefault="00D03F78"/>
    <w:p w:rsidR="00D03F78" w:rsidRDefault="00D03F78"/>
    <w:p w:rsidR="00D03F78" w:rsidRDefault="00D03F78"/>
    <w:p w:rsidR="00D03F78" w:rsidRDefault="00D03F78"/>
    <w:p w:rsidR="00D03F78" w:rsidRDefault="00AB25FC">
      <w:r>
        <w:rPr>
          <w:noProof/>
          <w:lang w:val="en-US"/>
        </w:rPr>
        <w:drawing>
          <wp:anchor distT="0" distB="0" distL="114300" distR="114300" simplePos="0" relativeHeight="251663360" behindDoc="0" locked="0" layoutInCell="1" hidden="0" allowOverlap="1">
            <wp:simplePos x="0" y="0"/>
            <wp:positionH relativeFrom="column">
              <wp:posOffset>-634</wp:posOffset>
            </wp:positionH>
            <wp:positionV relativeFrom="paragraph">
              <wp:posOffset>141605</wp:posOffset>
            </wp:positionV>
            <wp:extent cx="2807970" cy="1762125"/>
            <wp:effectExtent l="0" t="0" r="0" b="0"/>
            <wp:wrapNone/>
            <wp:docPr id="2040841830" name="Gráfico 20408418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03F78" w:rsidRDefault="00D03F78"/>
    <w:p w:rsidR="00D03F78" w:rsidRDefault="00D03F78"/>
    <w:p w:rsidR="00D03F78" w:rsidRDefault="00D03F78"/>
    <w:p w:rsidR="00D03F78" w:rsidRDefault="00D03F78"/>
    <w:p w:rsidR="00D03F78" w:rsidRDefault="00D03F78"/>
    <w:p w:rsidR="00D03F78" w:rsidRDefault="00D03F78"/>
    <w:p w:rsidR="00D03F78" w:rsidRDefault="00AB25FC">
      <w:pPr>
        <w:rPr>
          <w:b/>
        </w:rPr>
      </w:pPr>
      <w:r>
        <w:rPr>
          <w:b/>
        </w:rPr>
        <w:t>Área de estudio</w:t>
      </w:r>
    </w:p>
    <w:p w:rsidR="00D03F78" w:rsidRDefault="00AB25FC">
      <w:r>
        <w:t>Durante la exploración del contenido de los artículos, se llevó a cabo un análisis por similitud de palabras a partir del coeficiente de correlación de Pearson. Como se pudo observar, el análisis permite la identificación de varios grupos de artículos que resultan más similares entre sí cuando la figura 4 se lee de abajo hacia arriba. De la misma manera, se entiende cómo hay claramente tres conglomerados, de los cuales en dos se encuentran agrupados la mayor cantidad de artículos que se describen así: a) ecosistema emprendedor, b) emprendimiento e innovación y c) instituciones y emprendimiento.</w:t>
      </w:r>
    </w:p>
    <w:p w:rsidR="00D03F78" w:rsidRDefault="00AB25FC">
      <w:r>
        <w:t>a. Ecosistema emprendedor:</w:t>
      </w:r>
    </w:p>
    <w:p w:rsidR="00D03F78" w:rsidRDefault="00AB25FC">
      <w:pPr>
        <w:pStyle w:val="Ttulo2"/>
      </w:pPr>
      <w:r>
        <w:lastRenderedPageBreak/>
        <w:t>Figura 4</w:t>
      </w:r>
    </w:p>
    <w:p w:rsidR="00D03F78" w:rsidRDefault="00AB25FC">
      <w:pPr>
        <w:ind w:firstLine="0"/>
        <w:rPr>
          <w:i/>
        </w:rPr>
      </w:pPr>
      <w:r>
        <w:rPr>
          <w:i/>
        </w:rPr>
        <w:t>Primer conglomerado por similitud de palabras</w:t>
      </w:r>
    </w:p>
    <w:p w:rsidR="00D03F78" w:rsidRDefault="00AB25FC">
      <w:pPr>
        <w:ind w:firstLine="142"/>
      </w:pPr>
      <w:r>
        <w:rPr>
          <w:noProof/>
          <w:lang w:val="en-US"/>
        </w:rPr>
        <w:drawing>
          <wp:inline distT="0" distB="0" distL="0" distR="0">
            <wp:extent cx="4774191" cy="5567559"/>
            <wp:effectExtent l="0" t="0" r="0" b="0"/>
            <wp:docPr id="2040841838" name="image4.jpg" descr="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Escala de tiempo&#10;&#10;Descripción generada automáticamente"/>
                    <pic:cNvPicPr preferRelativeResize="0"/>
                  </pic:nvPicPr>
                  <pic:blipFill>
                    <a:blip r:embed="rId15"/>
                    <a:srcRect l="2315" t="4506" r="937" b="930"/>
                    <a:stretch>
                      <a:fillRect/>
                    </a:stretch>
                  </pic:blipFill>
                  <pic:spPr>
                    <a:xfrm>
                      <a:off x="0" y="0"/>
                      <a:ext cx="4774191" cy="5567559"/>
                    </a:xfrm>
                    <a:prstGeom prst="rect">
                      <a:avLst/>
                    </a:prstGeom>
                    <a:ln/>
                  </pic:spPr>
                </pic:pic>
              </a:graphicData>
            </a:graphic>
          </wp:inline>
        </w:drawing>
      </w:r>
    </w:p>
    <w:p w:rsidR="00D03F78" w:rsidRDefault="00AB25FC">
      <w:r>
        <w:t xml:space="preserve">En el primero de los conglomerados se encontraron estudios que fueron desde lo trabajado por </w:t>
      </w:r>
      <w:proofErr w:type="spellStart"/>
      <w:r>
        <w:t>Pathak</w:t>
      </w:r>
      <w:proofErr w:type="spellEnd"/>
      <w:r>
        <w:t xml:space="preserve"> (2021), que mostró la influencia de los aspectos psicológicos en el nivel de desarrollo empresarial desde un orden social y cómo este varía en la capacidad de los países, según sus niveles de </w:t>
      </w:r>
      <w:proofErr w:type="spellStart"/>
      <w:r>
        <w:t>desfavorabilidad</w:t>
      </w:r>
      <w:proofErr w:type="spellEnd"/>
      <w:r>
        <w:t xml:space="preserve">. Pasando por trabajos como el de </w:t>
      </w:r>
      <w:proofErr w:type="spellStart"/>
      <w:r>
        <w:t>Queirós</w:t>
      </w:r>
      <w:proofErr w:type="spellEnd"/>
      <w:r>
        <w:t xml:space="preserve"> </w:t>
      </w:r>
      <w:r>
        <w:rPr>
          <w:i/>
        </w:rPr>
        <w:t>et al.</w:t>
      </w:r>
      <w:r w:rsidR="009D1FA2">
        <w:t xml:space="preserve"> (2019</w:t>
      </w:r>
      <w:r>
        <w:t xml:space="preserve">), que habla sobre la iniciativa empresarial, su influencia en el desempeño de los países y su crecimiento económico; trabajos como el de </w:t>
      </w:r>
      <w:proofErr w:type="spellStart"/>
      <w:r>
        <w:t>Darnihamedani</w:t>
      </w:r>
      <w:proofErr w:type="spellEnd"/>
      <w:r>
        <w:t xml:space="preserve"> </w:t>
      </w:r>
      <w:r>
        <w:rPr>
          <w:i/>
        </w:rPr>
        <w:t>et al.</w:t>
      </w:r>
      <w:r w:rsidR="005B5C38">
        <w:t xml:space="preserve"> (2018</w:t>
      </w:r>
      <w:r>
        <w:t xml:space="preserve">), que parten de la influencia que tienen los impuestos sobre la iniciativa empresarial, o trabajos como el de </w:t>
      </w:r>
      <w:proofErr w:type="spellStart"/>
      <w:r>
        <w:t>Leporati</w:t>
      </w:r>
      <w:proofErr w:type="spellEnd"/>
      <w:r>
        <w:t xml:space="preserve"> </w:t>
      </w:r>
      <w:r>
        <w:rPr>
          <w:i/>
        </w:rPr>
        <w:t>et al.</w:t>
      </w:r>
      <w:r>
        <w:t xml:space="preserve"> (2021), enfocados en comprender el nivel de responsabilidad de los gobiernos al momento de realizar políticas dirigidas hacia el sector emprendedor.</w:t>
      </w:r>
    </w:p>
    <w:p w:rsidR="00D03F78" w:rsidRDefault="00AB25FC">
      <w:r>
        <w:lastRenderedPageBreak/>
        <w:t xml:space="preserve">De igual manera, se encontraron estudios como los de </w:t>
      </w:r>
      <w:proofErr w:type="spellStart"/>
      <w:r>
        <w:t>Yan</w:t>
      </w:r>
      <w:proofErr w:type="spellEnd"/>
      <w:r>
        <w:t xml:space="preserve"> y </w:t>
      </w:r>
      <w:proofErr w:type="spellStart"/>
      <w:r>
        <w:t>Guan</w:t>
      </w:r>
      <w:proofErr w:type="spellEnd"/>
      <w:r>
        <w:t xml:space="preserve"> (2018), que retoman el amplio espectro del ecosistema emprendedor, en el que las políticas fiscales, las dinámicas del mercado y las políticas empresariales internas y hacia el exterior permiten crear una red de apoyo para el fortalecimiento empresaria</w:t>
      </w:r>
      <w:r w:rsidR="002569D0">
        <w:t>l, o los de Peterson (2020</w:t>
      </w:r>
      <w:r>
        <w:t xml:space="preserve">), que encaminó su investigación de las empresas hacia el exterior desde unas medidas mejoradas abordadas a partir del marketing digital, hasta llegar a estudios como el de </w:t>
      </w:r>
      <w:proofErr w:type="spellStart"/>
      <w:r>
        <w:t>Sitaridis</w:t>
      </w:r>
      <w:proofErr w:type="spellEnd"/>
      <w:r>
        <w:t xml:space="preserve"> y </w:t>
      </w:r>
      <w:proofErr w:type="spellStart"/>
      <w:r>
        <w:t>Kitsios</w:t>
      </w:r>
      <w:proofErr w:type="spellEnd"/>
      <w:r>
        <w:t xml:space="preserve"> (2019), quienes comparan y </w:t>
      </w:r>
      <w:proofErr w:type="spellStart"/>
      <w:r>
        <w:t>ranquean</w:t>
      </w:r>
      <w:proofErr w:type="spellEnd"/>
      <w:r>
        <w:t xml:space="preserve"> los ecosistemas emprendedores para evaluar la competitividad de las economías nacionales, teniendo en cuenta factores individuales y contextuales para conocer las condiciones de competitividad. Por lo que estos artículos contribuyen a entender la relación entre el ecosistema emprendedor, las políticas y la capacidad de los países para responder a las dinámicas de los mercados.</w:t>
      </w:r>
    </w:p>
    <w:p w:rsidR="00D03F78" w:rsidRDefault="00AB25FC">
      <w:r>
        <w:t>b. Emprendimiento e innovación:</w:t>
      </w:r>
    </w:p>
    <w:p w:rsidR="00D03F78" w:rsidRDefault="00AB25FC">
      <w:r>
        <w:t xml:space="preserve">El segundo conglomerado cuenta con estudios como el de </w:t>
      </w:r>
      <w:proofErr w:type="spellStart"/>
      <w:r>
        <w:t>Eid</w:t>
      </w:r>
      <w:proofErr w:type="spellEnd"/>
      <w:r>
        <w:t xml:space="preserve"> y </w:t>
      </w:r>
      <w:proofErr w:type="spellStart"/>
      <w:r>
        <w:t>Agag</w:t>
      </w:r>
      <w:proofErr w:type="spellEnd"/>
      <w:r>
        <w:t xml:space="preserve"> (2020), quienes investigan las presiones estatales y el apoyo de las corporaciones que inciden en el comportamiento emprendedor e innovador de los empleados. También, se encuentran trabajos que demuestran las relaciones entre los valores de innovación, tecnología y desarrollo económico (</w:t>
      </w:r>
      <w:proofErr w:type="spellStart"/>
      <w:r>
        <w:t>Huarng</w:t>
      </w:r>
      <w:proofErr w:type="spellEnd"/>
      <w:r>
        <w:t xml:space="preserve"> &amp; </w:t>
      </w:r>
      <w:proofErr w:type="spellStart"/>
      <w:r>
        <w:t>Kuang</w:t>
      </w:r>
      <w:proofErr w:type="spellEnd"/>
      <w:r>
        <w:t xml:space="preserve">, 2022). Además, se identifican otros trabajos como los de </w:t>
      </w:r>
      <w:proofErr w:type="spellStart"/>
      <w:r>
        <w:t>Pathak</w:t>
      </w:r>
      <w:proofErr w:type="spellEnd"/>
      <w:r>
        <w:t xml:space="preserve"> y </w:t>
      </w:r>
      <w:proofErr w:type="spellStart"/>
      <w:r>
        <w:t>Muralidharan</w:t>
      </w:r>
      <w:proofErr w:type="spellEnd"/>
      <w:r>
        <w:t xml:space="preserve"> (2017), que se remiten al tema del emprendimiento y las finanzas en el campo social, estudiando las dimensiones de la desigualdad de ingresos y su beneficio o limitaciones hacia el emprendimiento social, o los de Amorós </w:t>
      </w:r>
      <w:r>
        <w:rPr>
          <w:i/>
        </w:rPr>
        <w:t>et al.</w:t>
      </w:r>
      <w:r>
        <w:t xml:space="preserve"> (2019), que se enfocan en el entorno emprendedor e innovador asociado a las leyes y su incidencia en el contexto de cada nación; los trabajos de </w:t>
      </w:r>
      <w:proofErr w:type="spellStart"/>
      <w:r>
        <w:t>Qin</w:t>
      </w:r>
      <w:proofErr w:type="spellEnd"/>
      <w:r>
        <w:t xml:space="preserve"> </w:t>
      </w:r>
      <w:r>
        <w:rPr>
          <w:i/>
        </w:rPr>
        <w:t>et al.</w:t>
      </w:r>
      <w:r>
        <w:t xml:space="preserve"> (2021), centrados en la influencia de los otros y su experiencia para generar procesos de inversión, hasta llegar a los trabajos de von </w:t>
      </w:r>
      <w:proofErr w:type="spellStart"/>
      <w:r>
        <w:t>Bloh</w:t>
      </w:r>
      <w:proofErr w:type="spellEnd"/>
      <w:r>
        <w:t xml:space="preserve"> </w:t>
      </w:r>
      <w:r>
        <w:rPr>
          <w:i/>
        </w:rPr>
        <w:t>et al.</w:t>
      </w:r>
      <w:r>
        <w:t xml:space="preserve"> (2019) y </w:t>
      </w:r>
      <w:proofErr w:type="spellStart"/>
      <w:r>
        <w:t>Chen</w:t>
      </w:r>
      <w:proofErr w:type="spellEnd"/>
      <w:r>
        <w:t xml:space="preserve"> </w:t>
      </w:r>
      <w:r>
        <w:rPr>
          <w:i/>
        </w:rPr>
        <w:t>et al.</w:t>
      </w:r>
      <w:r>
        <w:t xml:space="preserve"> (2017), sobre los emprendimientos transnacionales como elemento para ser competitivos y generar valor social en los países.</w:t>
      </w:r>
    </w:p>
    <w:p w:rsidR="00D03F78" w:rsidRDefault="00AB25FC">
      <w:pPr>
        <w:pStyle w:val="Ttulo2"/>
      </w:pPr>
      <w:r>
        <w:t>Figura 5</w:t>
      </w:r>
    </w:p>
    <w:p w:rsidR="00D03F78" w:rsidRDefault="00AB25FC">
      <w:pPr>
        <w:ind w:firstLine="0"/>
        <w:rPr>
          <w:i/>
        </w:rPr>
      </w:pPr>
      <w:r>
        <w:rPr>
          <w:i/>
        </w:rPr>
        <w:t>Segundo conglomerado por similitud de palabras</w:t>
      </w:r>
    </w:p>
    <w:p w:rsidR="00D03F78" w:rsidRDefault="00AB25FC">
      <w:pPr>
        <w:ind w:firstLine="0"/>
      </w:pPr>
      <w:r>
        <w:rPr>
          <w:noProof/>
          <w:lang w:val="en-US"/>
        </w:rPr>
        <w:lastRenderedPageBreak/>
        <w:drawing>
          <wp:inline distT="0" distB="0" distL="0" distR="0">
            <wp:extent cx="4950151" cy="7139274"/>
            <wp:effectExtent l="0" t="0" r="0" b="0"/>
            <wp:docPr id="2040841837" name="image3.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Diagrama&#10;&#10;Descripción generada automáticamente"/>
                    <pic:cNvPicPr preferRelativeResize="0"/>
                  </pic:nvPicPr>
                  <pic:blipFill>
                    <a:blip r:embed="rId16"/>
                    <a:srcRect l="2150" t="4130" r="1433" b="1197"/>
                    <a:stretch>
                      <a:fillRect/>
                    </a:stretch>
                  </pic:blipFill>
                  <pic:spPr>
                    <a:xfrm>
                      <a:off x="0" y="0"/>
                      <a:ext cx="4950151" cy="7139274"/>
                    </a:xfrm>
                    <a:prstGeom prst="rect">
                      <a:avLst/>
                    </a:prstGeom>
                    <a:ln/>
                  </pic:spPr>
                </pic:pic>
              </a:graphicData>
            </a:graphic>
          </wp:inline>
        </w:drawing>
      </w:r>
      <w:r>
        <w:t xml:space="preserve"> </w:t>
      </w:r>
    </w:p>
    <w:p w:rsidR="00D03F78" w:rsidRDefault="00D03F78"/>
    <w:p w:rsidR="00D03F78" w:rsidRDefault="00AB25FC">
      <w:r>
        <w:t>c. Instituciones y emprendimiento</w:t>
      </w:r>
    </w:p>
    <w:p w:rsidR="00D03F78" w:rsidRDefault="00AB25FC">
      <w:r>
        <w:t xml:space="preserve">El tercer conglomerado cuenta con tres trabajos, el de </w:t>
      </w:r>
      <w:proofErr w:type="spellStart"/>
      <w:r>
        <w:t>Veiga</w:t>
      </w:r>
      <w:proofErr w:type="spellEnd"/>
      <w:r>
        <w:t xml:space="preserve"> </w:t>
      </w:r>
      <w:r>
        <w:rPr>
          <w:i/>
        </w:rPr>
        <w:t>et al.</w:t>
      </w:r>
      <w:r>
        <w:t xml:space="preserve"> (2020), centrado en las variables de índice de emprendimiento e impacto de la percepción ante las entidades públicas, con el fin de identificar cómo la calidad de las instituciones públicas permite el </w:t>
      </w:r>
      <w:r>
        <w:lastRenderedPageBreak/>
        <w:t xml:space="preserve">desarrollo de variables que inciden en el emprendimiento; el trabajo de </w:t>
      </w:r>
      <w:proofErr w:type="spellStart"/>
      <w:r>
        <w:t>Lawson</w:t>
      </w:r>
      <w:proofErr w:type="spellEnd"/>
      <w:r>
        <w:t xml:space="preserve"> y </w:t>
      </w:r>
      <w:proofErr w:type="spellStart"/>
      <w:r>
        <w:t>Chowdhury</w:t>
      </w:r>
      <w:proofErr w:type="spellEnd"/>
      <w:r>
        <w:t xml:space="preserve"> (2022), centrado en identificar que las naciones en ocasiones permiten dinámicas que generan impactos positivos para el mercado emprendedor, y el trabajo de </w:t>
      </w:r>
      <w:proofErr w:type="spellStart"/>
      <w:r>
        <w:t>Crittenden</w:t>
      </w:r>
      <w:proofErr w:type="spellEnd"/>
      <w:r>
        <w:t xml:space="preserve"> y </w:t>
      </w:r>
      <w:proofErr w:type="spellStart"/>
      <w:r>
        <w:t>Dhebar</w:t>
      </w:r>
      <w:proofErr w:type="spellEnd"/>
      <w:r>
        <w:t xml:space="preserve"> (2019), enfocado en el emprendimiento y el desarrollo de productos.</w:t>
      </w:r>
    </w:p>
    <w:p w:rsidR="00D03F78" w:rsidRDefault="00AB25FC">
      <w:pPr>
        <w:pStyle w:val="Ttulo2"/>
      </w:pPr>
      <w:r>
        <w:t>Figura 6</w:t>
      </w:r>
    </w:p>
    <w:p w:rsidR="00D03F78" w:rsidRDefault="00AB25FC">
      <w:pPr>
        <w:ind w:firstLine="0"/>
        <w:rPr>
          <w:i/>
        </w:rPr>
      </w:pPr>
      <w:r>
        <w:rPr>
          <w:i/>
        </w:rPr>
        <w:t>Tercer conglomerado por similitud de palabras</w:t>
      </w:r>
    </w:p>
    <w:p w:rsidR="00D03F78" w:rsidRDefault="00AB25FC">
      <w:pPr>
        <w:ind w:firstLine="0"/>
      </w:pPr>
      <w:r>
        <w:rPr>
          <w:noProof/>
          <w:lang w:val="en-US"/>
        </w:rPr>
        <w:drawing>
          <wp:inline distT="0" distB="0" distL="0" distR="0">
            <wp:extent cx="3009832" cy="650160"/>
            <wp:effectExtent l="0" t="0" r="0" b="0"/>
            <wp:docPr id="2040841839"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7"/>
                    <a:srcRect l="4961" t="32193" r="3087" b="7444"/>
                    <a:stretch>
                      <a:fillRect/>
                    </a:stretch>
                  </pic:blipFill>
                  <pic:spPr>
                    <a:xfrm>
                      <a:off x="0" y="0"/>
                      <a:ext cx="3009832" cy="650160"/>
                    </a:xfrm>
                    <a:prstGeom prst="rect">
                      <a:avLst/>
                    </a:prstGeom>
                    <a:ln/>
                  </pic:spPr>
                </pic:pic>
              </a:graphicData>
            </a:graphic>
          </wp:inline>
        </w:drawing>
      </w:r>
    </w:p>
    <w:p w:rsidR="00D03F78" w:rsidRDefault="00AB25FC">
      <w:pPr>
        <w:rPr>
          <w:b/>
        </w:rPr>
      </w:pPr>
      <w:r>
        <w:rPr>
          <w:b/>
        </w:rPr>
        <w:t>Tipos de estudio</w:t>
      </w:r>
    </w:p>
    <w:p w:rsidR="00D03F78" w:rsidRDefault="00AB25FC">
      <w:r>
        <w:t>En cuanto a los tipos de análisis de los artículos analizados, se pudo observar que el análisis más utilizado en los estudios fue el análisis multinivel con 14 artículos, seguido de regresión logística (13 artículos), estadísticas descriptivas (12 artículos), regresión lineal (11 artículos), análisis comparativo cualitativo (10 artículos), análisis factorial exploratorio (5 artículos) y ecuaciones estructurales (4 artículos). Finalmente, se encontraron en una proporción menor las regresiones jerárquicas, las regresiones lineales, los análisis multinivel y un análisis de correspondencia conjunta.</w:t>
      </w:r>
    </w:p>
    <w:p w:rsidR="00D03F78" w:rsidRDefault="00AB25FC">
      <w:pPr>
        <w:pStyle w:val="Ttulo2"/>
      </w:pPr>
      <w:r>
        <w:t>Tabla 3</w:t>
      </w:r>
    </w:p>
    <w:p w:rsidR="00D03F78" w:rsidRDefault="00AB25FC">
      <w:pPr>
        <w:ind w:firstLine="0"/>
        <w:rPr>
          <w:i/>
        </w:rPr>
      </w:pPr>
      <w:r>
        <w:rPr>
          <w:i/>
        </w:rPr>
        <w:t>Tipo de análisis</w:t>
      </w:r>
    </w:p>
    <w:tbl>
      <w:tblPr>
        <w:tblStyle w:val="a1"/>
        <w:tblW w:w="9070" w:type="dxa"/>
        <w:tblInd w:w="0" w:type="dxa"/>
        <w:tblBorders>
          <w:top w:val="single" w:sz="4" w:space="0" w:color="000000"/>
          <w:bottom w:val="single" w:sz="4" w:space="0" w:color="000000"/>
        </w:tblBorders>
        <w:tblLayout w:type="fixed"/>
        <w:tblLook w:val="0400" w:firstRow="0" w:lastRow="0" w:firstColumn="0" w:lastColumn="0" w:noHBand="0" w:noVBand="1"/>
      </w:tblPr>
      <w:tblGrid>
        <w:gridCol w:w="1965"/>
        <w:gridCol w:w="386"/>
        <w:gridCol w:w="6719"/>
      </w:tblGrid>
      <w:tr w:rsidR="00D03F78">
        <w:trPr>
          <w:trHeight w:val="229"/>
          <w:tblHeader/>
        </w:trPr>
        <w:tc>
          <w:tcPr>
            <w:tcW w:w="2351"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 xml:space="preserve">Tipo de análisis </w:t>
            </w:r>
          </w:p>
        </w:tc>
        <w:tc>
          <w:tcPr>
            <w:tcW w:w="6719"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Estudios</w:t>
            </w:r>
          </w:p>
        </w:tc>
      </w:tr>
      <w:tr w:rsidR="00D03F78">
        <w:trPr>
          <w:trHeight w:val="145"/>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Regresión jerárquica</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 xml:space="preserve">Wang </w:t>
            </w:r>
            <w:r>
              <w:rPr>
                <w:i/>
                <w:sz w:val="22"/>
                <w:szCs w:val="22"/>
              </w:rPr>
              <w:t>et al.</w:t>
            </w:r>
            <w:r>
              <w:rPr>
                <w:sz w:val="20"/>
                <w:szCs w:val="20"/>
              </w:rPr>
              <w:t xml:space="preserve"> </w:t>
            </w:r>
            <w:r>
              <w:rPr>
                <w:sz w:val="22"/>
                <w:szCs w:val="22"/>
              </w:rPr>
              <w:t xml:space="preserve">(2021); Urbano </w:t>
            </w:r>
            <w:r>
              <w:rPr>
                <w:i/>
                <w:sz w:val="22"/>
                <w:szCs w:val="22"/>
              </w:rPr>
              <w:t>et al.</w:t>
            </w:r>
            <w:r>
              <w:rPr>
                <w:sz w:val="20"/>
                <w:szCs w:val="20"/>
              </w:rPr>
              <w:t xml:space="preserve"> </w:t>
            </w:r>
            <w:r>
              <w:rPr>
                <w:sz w:val="22"/>
                <w:szCs w:val="22"/>
              </w:rPr>
              <w:t>(2018).</w:t>
            </w:r>
          </w:p>
        </w:tc>
      </w:tr>
      <w:tr w:rsidR="00D03F78">
        <w:trPr>
          <w:trHeight w:val="439"/>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Análisis factorial confirmatorio</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white"/>
              </w:rPr>
            </w:pPr>
            <w:proofErr w:type="spellStart"/>
            <w:r>
              <w:rPr>
                <w:sz w:val="22"/>
                <w:szCs w:val="22"/>
                <w:highlight w:val="white"/>
              </w:rPr>
              <w:t>Farinha</w:t>
            </w:r>
            <w:proofErr w:type="spellEnd"/>
            <w:r>
              <w:rPr>
                <w:sz w:val="22"/>
                <w:szCs w:val="22"/>
                <w:highlight w:val="white"/>
              </w:rPr>
              <w:t xml:space="preserve"> </w:t>
            </w:r>
            <w:r>
              <w:rPr>
                <w:i/>
                <w:sz w:val="22"/>
                <w:szCs w:val="22"/>
              </w:rPr>
              <w:t>et al.</w:t>
            </w:r>
            <w:r>
              <w:rPr>
                <w:sz w:val="20"/>
                <w:szCs w:val="20"/>
              </w:rPr>
              <w:t xml:space="preserve"> </w:t>
            </w:r>
            <w:r>
              <w:rPr>
                <w:sz w:val="22"/>
                <w:szCs w:val="22"/>
                <w:highlight w:val="white"/>
              </w:rPr>
              <w:t>(2020)</w:t>
            </w:r>
          </w:p>
        </w:tc>
      </w:tr>
      <w:tr w:rsidR="00D03F78">
        <w:trPr>
          <w:trHeight w:val="205"/>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 xml:space="preserve">Estadísticas descriptivas </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yellow"/>
              </w:rPr>
            </w:pPr>
            <w:r>
              <w:rPr>
                <w:sz w:val="22"/>
                <w:szCs w:val="22"/>
              </w:rPr>
              <w:t xml:space="preserve">Ferreira </w:t>
            </w:r>
            <w:r>
              <w:rPr>
                <w:i/>
                <w:sz w:val="22"/>
                <w:szCs w:val="22"/>
              </w:rPr>
              <w:t>et al.</w:t>
            </w:r>
            <w:r>
              <w:rPr>
                <w:sz w:val="20"/>
                <w:szCs w:val="20"/>
              </w:rPr>
              <w:t xml:space="preserve"> </w:t>
            </w:r>
            <w:r>
              <w:rPr>
                <w:sz w:val="22"/>
                <w:szCs w:val="22"/>
              </w:rPr>
              <w:t xml:space="preserve">(2022); </w:t>
            </w:r>
            <w:proofErr w:type="spellStart"/>
            <w:r>
              <w:rPr>
                <w:sz w:val="22"/>
                <w:szCs w:val="22"/>
              </w:rPr>
              <w:t>Acs</w:t>
            </w:r>
            <w:proofErr w:type="spellEnd"/>
            <w:r>
              <w:rPr>
                <w:sz w:val="22"/>
                <w:szCs w:val="22"/>
              </w:rPr>
              <w:t xml:space="preserve"> </w:t>
            </w:r>
            <w:r>
              <w:rPr>
                <w:i/>
                <w:sz w:val="22"/>
                <w:szCs w:val="22"/>
              </w:rPr>
              <w:t>et al.</w:t>
            </w:r>
            <w:r>
              <w:rPr>
                <w:sz w:val="22"/>
                <w:szCs w:val="22"/>
              </w:rPr>
              <w:t xml:space="preserve"> (2018); </w:t>
            </w:r>
            <w:proofErr w:type="spellStart"/>
            <w:r>
              <w:rPr>
                <w:sz w:val="22"/>
                <w:szCs w:val="22"/>
              </w:rPr>
              <w:t>Miao</w:t>
            </w:r>
            <w:proofErr w:type="spellEnd"/>
            <w:r>
              <w:rPr>
                <w:sz w:val="22"/>
                <w:szCs w:val="22"/>
              </w:rPr>
              <w:t xml:space="preserve"> </w:t>
            </w:r>
            <w:r>
              <w:rPr>
                <w:i/>
                <w:sz w:val="22"/>
                <w:szCs w:val="22"/>
              </w:rPr>
              <w:t>et al.</w:t>
            </w:r>
            <w:r w:rsidR="0007109D">
              <w:rPr>
                <w:sz w:val="22"/>
                <w:szCs w:val="22"/>
              </w:rPr>
              <w:t xml:space="preserve"> (2022</w:t>
            </w:r>
            <w:r>
              <w:rPr>
                <w:sz w:val="22"/>
                <w:szCs w:val="22"/>
              </w:rPr>
              <w:t xml:space="preserve">); Yin </w:t>
            </w:r>
            <w:r>
              <w:rPr>
                <w:i/>
                <w:sz w:val="22"/>
                <w:szCs w:val="22"/>
              </w:rPr>
              <w:t>et al.</w:t>
            </w:r>
            <w:r>
              <w:rPr>
                <w:sz w:val="22"/>
                <w:szCs w:val="22"/>
              </w:rPr>
              <w:t xml:space="preserve"> (2021); </w:t>
            </w:r>
            <w:proofErr w:type="spellStart"/>
            <w:r>
              <w:rPr>
                <w:sz w:val="22"/>
                <w:szCs w:val="22"/>
                <w:highlight w:val="white"/>
              </w:rPr>
              <w:t>Song</w:t>
            </w:r>
            <w:proofErr w:type="spellEnd"/>
            <w:r>
              <w:rPr>
                <w:sz w:val="22"/>
                <w:szCs w:val="22"/>
                <w:highlight w:val="white"/>
              </w:rPr>
              <w:t xml:space="preserve"> </w:t>
            </w:r>
            <w:r>
              <w:rPr>
                <w:i/>
                <w:sz w:val="22"/>
                <w:szCs w:val="22"/>
                <w:highlight w:val="white"/>
              </w:rPr>
              <w:t>et al</w:t>
            </w:r>
            <w:r>
              <w:rPr>
                <w:sz w:val="22"/>
                <w:szCs w:val="22"/>
                <w:highlight w:val="white"/>
              </w:rPr>
              <w:t xml:space="preserve">. (2020); </w:t>
            </w:r>
            <w:r>
              <w:rPr>
                <w:sz w:val="22"/>
                <w:szCs w:val="22"/>
              </w:rPr>
              <w:t xml:space="preserve">Puente </w:t>
            </w:r>
            <w:r>
              <w:rPr>
                <w:i/>
                <w:sz w:val="22"/>
                <w:szCs w:val="22"/>
              </w:rPr>
              <w:t>et al</w:t>
            </w:r>
            <w:r>
              <w:rPr>
                <w:sz w:val="22"/>
                <w:szCs w:val="22"/>
              </w:rPr>
              <w:t xml:space="preserve">. (2019); </w:t>
            </w:r>
            <w:r>
              <w:rPr>
                <w:sz w:val="22"/>
                <w:szCs w:val="22"/>
                <w:highlight w:val="white"/>
              </w:rPr>
              <w:t xml:space="preserve">Poblete </w:t>
            </w:r>
            <w:r>
              <w:rPr>
                <w:i/>
                <w:sz w:val="22"/>
                <w:szCs w:val="22"/>
              </w:rPr>
              <w:t>et al</w:t>
            </w:r>
            <w:r>
              <w:rPr>
                <w:sz w:val="22"/>
                <w:szCs w:val="22"/>
                <w:highlight w:val="white"/>
              </w:rPr>
              <w:t xml:space="preserve">. (2019); </w:t>
            </w:r>
            <w:r>
              <w:rPr>
                <w:sz w:val="22"/>
                <w:szCs w:val="22"/>
              </w:rPr>
              <w:t xml:space="preserve">Orlando </w:t>
            </w:r>
            <w:r>
              <w:rPr>
                <w:i/>
                <w:sz w:val="22"/>
                <w:szCs w:val="22"/>
              </w:rPr>
              <w:t>et al</w:t>
            </w:r>
            <w:r>
              <w:rPr>
                <w:sz w:val="22"/>
                <w:szCs w:val="22"/>
              </w:rPr>
              <w:t xml:space="preserve">. (2021); Moro </w:t>
            </w:r>
            <w:r>
              <w:rPr>
                <w:i/>
                <w:sz w:val="22"/>
                <w:szCs w:val="22"/>
              </w:rPr>
              <w:t>et al</w:t>
            </w:r>
            <w:r>
              <w:rPr>
                <w:sz w:val="22"/>
                <w:szCs w:val="22"/>
              </w:rPr>
              <w:t xml:space="preserve">. (2020); </w:t>
            </w:r>
            <w:proofErr w:type="spellStart"/>
            <w:r>
              <w:rPr>
                <w:sz w:val="22"/>
                <w:szCs w:val="22"/>
              </w:rPr>
              <w:t>Canestrino</w:t>
            </w:r>
            <w:proofErr w:type="spellEnd"/>
            <w:r>
              <w:rPr>
                <w:sz w:val="22"/>
                <w:szCs w:val="22"/>
              </w:rPr>
              <w:t xml:space="preserve"> </w:t>
            </w:r>
            <w:r>
              <w:rPr>
                <w:i/>
                <w:sz w:val="22"/>
                <w:szCs w:val="22"/>
              </w:rPr>
              <w:t>et al</w:t>
            </w:r>
            <w:r>
              <w:rPr>
                <w:sz w:val="22"/>
                <w:szCs w:val="22"/>
              </w:rPr>
              <w:t xml:space="preserve">. (2020); Crecente </w:t>
            </w:r>
            <w:r>
              <w:rPr>
                <w:i/>
                <w:sz w:val="22"/>
                <w:szCs w:val="22"/>
              </w:rPr>
              <w:t>et al</w:t>
            </w:r>
            <w:r>
              <w:rPr>
                <w:sz w:val="22"/>
                <w:szCs w:val="22"/>
              </w:rPr>
              <w:t xml:space="preserve">. (2019); </w:t>
            </w:r>
            <w:proofErr w:type="spellStart"/>
            <w:r>
              <w:rPr>
                <w:sz w:val="22"/>
                <w:szCs w:val="22"/>
              </w:rPr>
              <w:t>Charfeddine</w:t>
            </w:r>
            <w:proofErr w:type="spellEnd"/>
            <w:r>
              <w:rPr>
                <w:sz w:val="22"/>
                <w:szCs w:val="22"/>
              </w:rPr>
              <w:t xml:space="preserve"> &amp; </w:t>
            </w:r>
            <w:proofErr w:type="spellStart"/>
            <w:r>
              <w:rPr>
                <w:sz w:val="22"/>
                <w:szCs w:val="22"/>
              </w:rPr>
              <w:t>Zaouali</w:t>
            </w:r>
            <w:proofErr w:type="spellEnd"/>
            <w:r>
              <w:rPr>
                <w:sz w:val="22"/>
                <w:szCs w:val="22"/>
              </w:rPr>
              <w:t xml:space="preserve"> (2022).</w:t>
            </w:r>
          </w:p>
        </w:tc>
      </w:tr>
      <w:tr w:rsidR="00D03F78">
        <w:trPr>
          <w:trHeight w:val="195"/>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Análisis factorial exploratorio</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proofErr w:type="spellStart"/>
            <w:r>
              <w:rPr>
                <w:sz w:val="22"/>
                <w:szCs w:val="22"/>
              </w:rPr>
              <w:t>Zayadin</w:t>
            </w:r>
            <w:proofErr w:type="spellEnd"/>
            <w:r>
              <w:rPr>
                <w:sz w:val="22"/>
                <w:szCs w:val="22"/>
              </w:rPr>
              <w:t xml:space="preserve"> </w:t>
            </w:r>
            <w:r>
              <w:rPr>
                <w:i/>
                <w:sz w:val="22"/>
                <w:szCs w:val="22"/>
              </w:rPr>
              <w:t>et al</w:t>
            </w:r>
            <w:r>
              <w:rPr>
                <w:sz w:val="22"/>
                <w:szCs w:val="22"/>
              </w:rPr>
              <w:t xml:space="preserve">. (2020); He </w:t>
            </w:r>
            <w:r>
              <w:rPr>
                <w:i/>
                <w:sz w:val="22"/>
                <w:szCs w:val="22"/>
              </w:rPr>
              <w:t>et al</w:t>
            </w:r>
            <w:r>
              <w:rPr>
                <w:sz w:val="22"/>
                <w:szCs w:val="22"/>
              </w:rPr>
              <w:t xml:space="preserve">. (2020); Crecente </w:t>
            </w:r>
            <w:r>
              <w:rPr>
                <w:i/>
                <w:sz w:val="22"/>
                <w:szCs w:val="22"/>
              </w:rPr>
              <w:t>et al</w:t>
            </w:r>
            <w:r>
              <w:rPr>
                <w:sz w:val="22"/>
                <w:szCs w:val="22"/>
              </w:rPr>
              <w:t xml:space="preserve">. (2018); </w:t>
            </w:r>
            <w:proofErr w:type="spellStart"/>
            <w:r>
              <w:rPr>
                <w:sz w:val="22"/>
                <w:szCs w:val="22"/>
              </w:rPr>
              <w:t>Fernandez</w:t>
            </w:r>
            <w:proofErr w:type="spellEnd"/>
            <w:r>
              <w:rPr>
                <w:sz w:val="22"/>
                <w:szCs w:val="22"/>
              </w:rPr>
              <w:t xml:space="preserve"> (2021); Espinoza </w:t>
            </w:r>
            <w:r>
              <w:rPr>
                <w:i/>
                <w:sz w:val="22"/>
                <w:szCs w:val="22"/>
              </w:rPr>
              <w:t>et al</w:t>
            </w:r>
            <w:r>
              <w:rPr>
                <w:sz w:val="22"/>
                <w:szCs w:val="22"/>
              </w:rPr>
              <w:t>. (2021).</w:t>
            </w:r>
          </w:p>
        </w:tc>
      </w:tr>
      <w:tr w:rsidR="00D03F78">
        <w:trPr>
          <w:trHeight w:val="764"/>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lastRenderedPageBreak/>
              <w:t>Regresión lineal</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yellow"/>
              </w:rPr>
            </w:pPr>
            <w:proofErr w:type="spellStart"/>
            <w:r w:rsidRPr="00AB25FC">
              <w:rPr>
                <w:sz w:val="22"/>
                <w:szCs w:val="22"/>
                <w:lang w:val="en-US"/>
              </w:rPr>
              <w:t>Kimmitt</w:t>
            </w:r>
            <w:proofErr w:type="spellEnd"/>
            <w:r w:rsidRPr="00AB25FC">
              <w:rPr>
                <w:sz w:val="22"/>
                <w:szCs w:val="22"/>
                <w:lang w:val="en-US"/>
              </w:rPr>
              <w:t xml:space="preserve"> </w:t>
            </w:r>
            <w:r w:rsidRPr="00AB25FC">
              <w:rPr>
                <w:i/>
                <w:sz w:val="22"/>
                <w:szCs w:val="22"/>
                <w:lang w:val="en-US"/>
              </w:rPr>
              <w:t>et al</w:t>
            </w:r>
            <w:r w:rsidRPr="00AB25FC">
              <w:rPr>
                <w:sz w:val="22"/>
                <w:szCs w:val="22"/>
                <w:lang w:val="en-US"/>
              </w:rPr>
              <w:t xml:space="preserve">. (2022); Zhang </w:t>
            </w:r>
            <w:r w:rsidRPr="00AB25FC">
              <w:rPr>
                <w:i/>
                <w:sz w:val="22"/>
                <w:szCs w:val="22"/>
                <w:lang w:val="en-US"/>
              </w:rPr>
              <w:t>et al</w:t>
            </w:r>
            <w:r w:rsidRPr="00AB25FC">
              <w:rPr>
                <w:sz w:val="22"/>
                <w:szCs w:val="22"/>
                <w:lang w:val="en-US"/>
              </w:rPr>
              <w:t xml:space="preserve">. </w:t>
            </w:r>
            <w:r>
              <w:rPr>
                <w:sz w:val="22"/>
                <w:szCs w:val="22"/>
              </w:rPr>
              <w:t xml:space="preserve">(2022); </w:t>
            </w:r>
            <w:proofErr w:type="spellStart"/>
            <w:r>
              <w:rPr>
                <w:sz w:val="22"/>
                <w:szCs w:val="22"/>
              </w:rPr>
              <w:t>Veiga</w:t>
            </w:r>
            <w:proofErr w:type="spellEnd"/>
            <w:r>
              <w:rPr>
                <w:sz w:val="22"/>
                <w:szCs w:val="22"/>
              </w:rPr>
              <w:t xml:space="preserve"> </w:t>
            </w:r>
            <w:r>
              <w:rPr>
                <w:i/>
                <w:sz w:val="22"/>
                <w:szCs w:val="22"/>
              </w:rPr>
              <w:t>et al</w:t>
            </w:r>
            <w:r>
              <w:rPr>
                <w:sz w:val="22"/>
                <w:szCs w:val="22"/>
              </w:rPr>
              <w:t xml:space="preserve">. (2020); </w:t>
            </w:r>
            <w:proofErr w:type="spellStart"/>
            <w:r>
              <w:rPr>
                <w:sz w:val="22"/>
                <w:szCs w:val="22"/>
              </w:rPr>
              <w:t>Queirós</w:t>
            </w:r>
            <w:proofErr w:type="spellEnd"/>
            <w:r>
              <w:rPr>
                <w:sz w:val="22"/>
                <w:szCs w:val="22"/>
              </w:rPr>
              <w:t xml:space="preserve"> </w:t>
            </w:r>
            <w:r>
              <w:rPr>
                <w:i/>
                <w:sz w:val="22"/>
                <w:szCs w:val="22"/>
              </w:rPr>
              <w:t>et al</w:t>
            </w:r>
            <w:r w:rsidR="009D1FA2">
              <w:rPr>
                <w:sz w:val="22"/>
                <w:szCs w:val="22"/>
              </w:rPr>
              <w:t>. (2019</w:t>
            </w:r>
            <w:r>
              <w:rPr>
                <w:sz w:val="22"/>
                <w:szCs w:val="22"/>
              </w:rPr>
              <w:t xml:space="preserve">); Calza </w:t>
            </w:r>
            <w:r>
              <w:rPr>
                <w:i/>
                <w:sz w:val="22"/>
                <w:szCs w:val="22"/>
              </w:rPr>
              <w:t>et al</w:t>
            </w:r>
            <w:r>
              <w:rPr>
                <w:sz w:val="22"/>
                <w:szCs w:val="22"/>
              </w:rPr>
              <w:t xml:space="preserve">. (2020); </w:t>
            </w:r>
            <w:proofErr w:type="spellStart"/>
            <w:r>
              <w:rPr>
                <w:sz w:val="22"/>
                <w:szCs w:val="22"/>
              </w:rPr>
              <w:t>Darnihamedani</w:t>
            </w:r>
            <w:proofErr w:type="spellEnd"/>
            <w:r>
              <w:rPr>
                <w:sz w:val="22"/>
                <w:szCs w:val="22"/>
              </w:rPr>
              <w:t xml:space="preserve"> </w:t>
            </w:r>
            <w:r>
              <w:rPr>
                <w:i/>
                <w:sz w:val="22"/>
                <w:szCs w:val="22"/>
              </w:rPr>
              <w:t>et al</w:t>
            </w:r>
            <w:r w:rsidR="005B5C38">
              <w:rPr>
                <w:sz w:val="22"/>
                <w:szCs w:val="22"/>
              </w:rPr>
              <w:t>. (2018</w:t>
            </w:r>
            <w:r>
              <w:rPr>
                <w:sz w:val="22"/>
                <w:szCs w:val="22"/>
              </w:rPr>
              <w:t xml:space="preserve">); </w:t>
            </w:r>
            <w:proofErr w:type="spellStart"/>
            <w:r>
              <w:rPr>
                <w:sz w:val="22"/>
                <w:szCs w:val="22"/>
                <w:highlight w:val="white"/>
              </w:rPr>
              <w:t>Nakara</w:t>
            </w:r>
            <w:proofErr w:type="spellEnd"/>
            <w:r>
              <w:rPr>
                <w:sz w:val="22"/>
                <w:szCs w:val="22"/>
                <w:highlight w:val="white"/>
              </w:rPr>
              <w:t xml:space="preserve"> </w:t>
            </w:r>
            <w:r>
              <w:rPr>
                <w:i/>
                <w:sz w:val="22"/>
                <w:szCs w:val="22"/>
              </w:rPr>
              <w:t>et al</w:t>
            </w:r>
            <w:r>
              <w:rPr>
                <w:sz w:val="22"/>
                <w:szCs w:val="22"/>
                <w:highlight w:val="white"/>
              </w:rPr>
              <w:t xml:space="preserve">. (2020); </w:t>
            </w:r>
            <w:proofErr w:type="spellStart"/>
            <w:r>
              <w:rPr>
                <w:sz w:val="22"/>
                <w:szCs w:val="22"/>
                <w:highlight w:val="white"/>
              </w:rPr>
              <w:t>Pathak</w:t>
            </w:r>
            <w:proofErr w:type="spellEnd"/>
            <w:r>
              <w:rPr>
                <w:sz w:val="22"/>
                <w:szCs w:val="22"/>
                <w:highlight w:val="white"/>
              </w:rPr>
              <w:t xml:space="preserve"> (2021); </w:t>
            </w:r>
            <w:proofErr w:type="spellStart"/>
            <w:r>
              <w:rPr>
                <w:sz w:val="22"/>
                <w:szCs w:val="22"/>
              </w:rPr>
              <w:t>Junaid</w:t>
            </w:r>
            <w:proofErr w:type="spellEnd"/>
            <w:r>
              <w:rPr>
                <w:sz w:val="22"/>
                <w:szCs w:val="22"/>
              </w:rPr>
              <w:t xml:space="preserve"> &amp; He (2019); Peris </w:t>
            </w:r>
            <w:r>
              <w:rPr>
                <w:i/>
                <w:sz w:val="22"/>
                <w:szCs w:val="22"/>
              </w:rPr>
              <w:t>et al</w:t>
            </w:r>
            <w:r>
              <w:rPr>
                <w:sz w:val="22"/>
                <w:szCs w:val="22"/>
              </w:rPr>
              <w:t xml:space="preserve">. (2017); Crecente </w:t>
            </w:r>
            <w:r>
              <w:rPr>
                <w:i/>
                <w:sz w:val="22"/>
                <w:szCs w:val="22"/>
              </w:rPr>
              <w:t>et al</w:t>
            </w:r>
            <w:r>
              <w:rPr>
                <w:sz w:val="22"/>
                <w:szCs w:val="22"/>
              </w:rPr>
              <w:t>. (2021).</w:t>
            </w:r>
          </w:p>
        </w:tc>
      </w:tr>
      <w:tr w:rsidR="00D03F78">
        <w:trPr>
          <w:trHeight w:val="750"/>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Regresión logística</w:t>
            </w:r>
          </w:p>
          <w:p w:rsidR="00D03F78" w:rsidRDefault="00D03F78">
            <w:pPr>
              <w:spacing w:after="0"/>
              <w:ind w:firstLine="0"/>
              <w:rPr>
                <w:sz w:val="22"/>
                <w:szCs w:val="22"/>
              </w:rPr>
            </w:pP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yellow"/>
              </w:rPr>
            </w:pPr>
            <w:proofErr w:type="spellStart"/>
            <w:r>
              <w:rPr>
                <w:sz w:val="22"/>
                <w:szCs w:val="22"/>
              </w:rPr>
              <w:t>Qin</w:t>
            </w:r>
            <w:proofErr w:type="spellEnd"/>
            <w:r>
              <w:rPr>
                <w:sz w:val="22"/>
                <w:szCs w:val="22"/>
              </w:rPr>
              <w:t xml:space="preserve"> </w:t>
            </w:r>
            <w:r>
              <w:rPr>
                <w:i/>
                <w:sz w:val="22"/>
                <w:szCs w:val="22"/>
              </w:rPr>
              <w:t>et al</w:t>
            </w:r>
            <w:r>
              <w:rPr>
                <w:sz w:val="22"/>
                <w:szCs w:val="22"/>
              </w:rPr>
              <w:t xml:space="preserve">. (2021); Li </w:t>
            </w:r>
            <w:r>
              <w:rPr>
                <w:i/>
                <w:sz w:val="22"/>
                <w:szCs w:val="22"/>
              </w:rPr>
              <w:t>et al</w:t>
            </w:r>
            <w:r>
              <w:rPr>
                <w:sz w:val="22"/>
                <w:szCs w:val="22"/>
              </w:rPr>
              <w:t xml:space="preserve">. (2020); Ali </w:t>
            </w:r>
            <w:r>
              <w:rPr>
                <w:i/>
                <w:sz w:val="22"/>
                <w:szCs w:val="22"/>
              </w:rPr>
              <w:t>et al</w:t>
            </w:r>
            <w:r>
              <w:rPr>
                <w:sz w:val="22"/>
                <w:szCs w:val="22"/>
              </w:rPr>
              <w:t xml:space="preserve">. (2022); Amorós </w:t>
            </w:r>
            <w:r>
              <w:rPr>
                <w:i/>
                <w:sz w:val="22"/>
                <w:szCs w:val="22"/>
              </w:rPr>
              <w:t>et al</w:t>
            </w:r>
            <w:r>
              <w:rPr>
                <w:sz w:val="22"/>
                <w:szCs w:val="22"/>
              </w:rPr>
              <w:t xml:space="preserve">. (2019); </w:t>
            </w:r>
            <w:proofErr w:type="spellStart"/>
            <w:r>
              <w:rPr>
                <w:sz w:val="22"/>
                <w:szCs w:val="22"/>
                <w:highlight w:val="white"/>
              </w:rPr>
              <w:t>Araraf</w:t>
            </w:r>
            <w:proofErr w:type="spellEnd"/>
            <w:r>
              <w:rPr>
                <w:sz w:val="22"/>
                <w:szCs w:val="22"/>
                <w:highlight w:val="white"/>
              </w:rPr>
              <w:t xml:space="preserve"> </w:t>
            </w:r>
            <w:r>
              <w:rPr>
                <w:i/>
                <w:sz w:val="22"/>
                <w:szCs w:val="22"/>
              </w:rPr>
              <w:t>et al</w:t>
            </w:r>
            <w:r>
              <w:rPr>
                <w:sz w:val="22"/>
                <w:szCs w:val="22"/>
                <w:highlight w:val="white"/>
              </w:rPr>
              <w:t xml:space="preserve">. (2018); </w:t>
            </w:r>
            <w:proofErr w:type="spellStart"/>
            <w:r>
              <w:rPr>
                <w:sz w:val="22"/>
                <w:szCs w:val="22"/>
              </w:rPr>
              <w:t>Pittino</w:t>
            </w:r>
            <w:proofErr w:type="spellEnd"/>
            <w:r>
              <w:rPr>
                <w:sz w:val="22"/>
                <w:szCs w:val="22"/>
              </w:rPr>
              <w:t xml:space="preserve"> </w:t>
            </w:r>
            <w:r>
              <w:rPr>
                <w:i/>
                <w:sz w:val="22"/>
                <w:szCs w:val="22"/>
              </w:rPr>
              <w:t>et al</w:t>
            </w:r>
            <w:r>
              <w:rPr>
                <w:sz w:val="22"/>
                <w:szCs w:val="22"/>
              </w:rPr>
              <w:t xml:space="preserve">. (2020); </w:t>
            </w:r>
            <w:proofErr w:type="spellStart"/>
            <w:r>
              <w:rPr>
                <w:sz w:val="22"/>
                <w:szCs w:val="22"/>
              </w:rPr>
              <w:t>Eid</w:t>
            </w:r>
            <w:proofErr w:type="spellEnd"/>
            <w:r>
              <w:rPr>
                <w:sz w:val="22"/>
                <w:szCs w:val="22"/>
              </w:rPr>
              <w:t xml:space="preserve"> &amp; </w:t>
            </w:r>
            <w:proofErr w:type="spellStart"/>
            <w:r>
              <w:rPr>
                <w:sz w:val="22"/>
                <w:szCs w:val="22"/>
              </w:rPr>
              <w:t>Agag</w:t>
            </w:r>
            <w:proofErr w:type="spellEnd"/>
            <w:r>
              <w:rPr>
                <w:sz w:val="22"/>
                <w:szCs w:val="22"/>
              </w:rPr>
              <w:t xml:space="preserve"> (2020); </w:t>
            </w:r>
            <w:proofErr w:type="spellStart"/>
            <w:r>
              <w:rPr>
                <w:sz w:val="22"/>
                <w:szCs w:val="22"/>
              </w:rPr>
              <w:t>Sedeh</w:t>
            </w:r>
            <w:proofErr w:type="spellEnd"/>
            <w:r>
              <w:rPr>
                <w:sz w:val="22"/>
                <w:szCs w:val="22"/>
              </w:rPr>
              <w:t xml:space="preserve"> </w:t>
            </w:r>
            <w:r>
              <w:rPr>
                <w:i/>
                <w:sz w:val="22"/>
                <w:szCs w:val="22"/>
              </w:rPr>
              <w:t>et al</w:t>
            </w:r>
            <w:r>
              <w:rPr>
                <w:sz w:val="22"/>
                <w:szCs w:val="22"/>
              </w:rPr>
              <w:t xml:space="preserve">. (2020); </w:t>
            </w:r>
            <w:r>
              <w:rPr>
                <w:sz w:val="22"/>
                <w:szCs w:val="22"/>
                <w:highlight w:val="white"/>
              </w:rPr>
              <w:t xml:space="preserve">Pinzón </w:t>
            </w:r>
            <w:r>
              <w:rPr>
                <w:i/>
                <w:sz w:val="22"/>
                <w:szCs w:val="22"/>
              </w:rPr>
              <w:t>et al</w:t>
            </w:r>
            <w:r>
              <w:rPr>
                <w:sz w:val="22"/>
                <w:szCs w:val="22"/>
                <w:highlight w:val="white"/>
              </w:rPr>
              <w:t xml:space="preserve">. (2021); </w:t>
            </w:r>
            <w:r>
              <w:rPr>
                <w:sz w:val="22"/>
                <w:szCs w:val="22"/>
              </w:rPr>
              <w:t xml:space="preserve">Turro </w:t>
            </w:r>
            <w:r>
              <w:rPr>
                <w:i/>
                <w:sz w:val="22"/>
                <w:szCs w:val="22"/>
              </w:rPr>
              <w:t>et al</w:t>
            </w:r>
            <w:r>
              <w:rPr>
                <w:sz w:val="22"/>
                <w:szCs w:val="22"/>
              </w:rPr>
              <w:t xml:space="preserve">. (2020); Yang </w:t>
            </w:r>
            <w:r>
              <w:rPr>
                <w:i/>
                <w:sz w:val="22"/>
                <w:szCs w:val="22"/>
              </w:rPr>
              <w:t>et al</w:t>
            </w:r>
            <w:r>
              <w:rPr>
                <w:sz w:val="22"/>
                <w:szCs w:val="22"/>
              </w:rPr>
              <w:t xml:space="preserve">. (2020); </w:t>
            </w:r>
            <w:proofErr w:type="spellStart"/>
            <w:r>
              <w:rPr>
                <w:sz w:val="22"/>
                <w:szCs w:val="22"/>
              </w:rPr>
              <w:t>Szerb</w:t>
            </w:r>
            <w:proofErr w:type="spellEnd"/>
            <w:r>
              <w:rPr>
                <w:sz w:val="22"/>
                <w:szCs w:val="22"/>
              </w:rPr>
              <w:t xml:space="preserve"> &amp; </w:t>
            </w:r>
            <w:proofErr w:type="spellStart"/>
            <w:r>
              <w:rPr>
                <w:sz w:val="22"/>
                <w:szCs w:val="22"/>
              </w:rPr>
              <w:t>Vörös</w:t>
            </w:r>
            <w:proofErr w:type="spellEnd"/>
            <w:r>
              <w:rPr>
                <w:sz w:val="22"/>
                <w:szCs w:val="22"/>
              </w:rPr>
              <w:t xml:space="preserve"> (2019); </w:t>
            </w:r>
            <w:proofErr w:type="spellStart"/>
            <w:r>
              <w:rPr>
                <w:sz w:val="22"/>
                <w:szCs w:val="22"/>
              </w:rPr>
              <w:t>Leporati</w:t>
            </w:r>
            <w:proofErr w:type="spellEnd"/>
            <w:r>
              <w:rPr>
                <w:sz w:val="22"/>
                <w:szCs w:val="22"/>
              </w:rPr>
              <w:t xml:space="preserve"> </w:t>
            </w:r>
            <w:r>
              <w:rPr>
                <w:i/>
                <w:sz w:val="22"/>
                <w:szCs w:val="22"/>
              </w:rPr>
              <w:t>et al</w:t>
            </w:r>
            <w:r>
              <w:rPr>
                <w:sz w:val="22"/>
                <w:szCs w:val="22"/>
              </w:rPr>
              <w:t>. (2021).</w:t>
            </w:r>
          </w:p>
        </w:tc>
      </w:tr>
      <w:tr w:rsidR="00D03F78">
        <w:trPr>
          <w:trHeight w:val="244"/>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Análisis multinivel</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yellow"/>
              </w:rPr>
            </w:pPr>
            <w:r w:rsidRPr="00AB25FC">
              <w:rPr>
                <w:sz w:val="22"/>
                <w:szCs w:val="22"/>
                <w:lang w:val="pt-BR"/>
              </w:rPr>
              <w:t xml:space="preserve">Sá &amp; Pinho (2019); Bernal </w:t>
            </w:r>
            <w:r w:rsidRPr="00AB25FC">
              <w:rPr>
                <w:i/>
                <w:sz w:val="22"/>
                <w:szCs w:val="22"/>
                <w:lang w:val="pt-BR"/>
              </w:rPr>
              <w:t>et al</w:t>
            </w:r>
            <w:r w:rsidRPr="00AB25FC">
              <w:rPr>
                <w:sz w:val="22"/>
                <w:szCs w:val="22"/>
                <w:lang w:val="pt-BR"/>
              </w:rPr>
              <w:t xml:space="preserve">. </w:t>
            </w:r>
            <w:r w:rsidRPr="00AB25FC">
              <w:rPr>
                <w:sz w:val="22"/>
                <w:szCs w:val="22"/>
                <w:lang w:val="en-US"/>
              </w:rPr>
              <w:t xml:space="preserve">(2021); Boudreaux </w:t>
            </w:r>
            <w:r w:rsidRPr="00AB25FC">
              <w:rPr>
                <w:i/>
                <w:sz w:val="22"/>
                <w:szCs w:val="22"/>
                <w:lang w:val="en-US"/>
              </w:rPr>
              <w:t>et al</w:t>
            </w:r>
            <w:r w:rsidR="005B5C38">
              <w:rPr>
                <w:sz w:val="22"/>
                <w:szCs w:val="22"/>
                <w:lang w:val="en-US"/>
              </w:rPr>
              <w:t>. (2019</w:t>
            </w:r>
            <w:r w:rsidRPr="00AB25FC">
              <w:rPr>
                <w:sz w:val="22"/>
                <w:szCs w:val="22"/>
                <w:lang w:val="en-US"/>
              </w:rPr>
              <w:t xml:space="preserve">); Boudreaux &amp; </w:t>
            </w:r>
            <w:proofErr w:type="spellStart"/>
            <w:r w:rsidRPr="00AB25FC">
              <w:rPr>
                <w:sz w:val="22"/>
                <w:szCs w:val="22"/>
                <w:lang w:val="en-US"/>
              </w:rPr>
              <w:t>Nikolaev</w:t>
            </w:r>
            <w:proofErr w:type="spellEnd"/>
            <w:r w:rsidRPr="00AB25FC">
              <w:rPr>
                <w:sz w:val="22"/>
                <w:szCs w:val="22"/>
                <w:lang w:val="en-US"/>
              </w:rPr>
              <w:t xml:space="preserve"> (2018); Pathak &amp; </w:t>
            </w:r>
            <w:proofErr w:type="spellStart"/>
            <w:r w:rsidRPr="00AB25FC">
              <w:rPr>
                <w:sz w:val="22"/>
                <w:szCs w:val="22"/>
                <w:lang w:val="en-US"/>
              </w:rPr>
              <w:t>Muralidharan</w:t>
            </w:r>
            <w:proofErr w:type="spellEnd"/>
            <w:r w:rsidRPr="00AB25FC">
              <w:rPr>
                <w:sz w:val="22"/>
                <w:szCs w:val="22"/>
                <w:lang w:val="en-US"/>
              </w:rPr>
              <w:t xml:space="preserve"> (2021); Pathak &amp; </w:t>
            </w:r>
            <w:proofErr w:type="spellStart"/>
            <w:r w:rsidRPr="00AB25FC">
              <w:rPr>
                <w:sz w:val="22"/>
                <w:szCs w:val="22"/>
                <w:lang w:val="en-US"/>
              </w:rPr>
              <w:t>Muralidharan</w:t>
            </w:r>
            <w:proofErr w:type="spellEnd"/>
            <w:r w:rsidRPr="00AB25FC">
              <w:rPr>
                <w:sz w:val="22"/>
                <w:szCs w:val="22"/>
                <w:lang w:val="en-US"/>
              </w:rPr>
              <w:t xml:space="preserve"> (2017); Mickiewicz </w:t>
            </w:r>
            <w:r w:rsidRPr="00AB25FC">
              <w:rPr>
                <w:i/>
                <w:sz w:val="22"/>
                <w:szCs w:val="22"/>
                <w:lang w:val="en-US"/>
              </w:rPr>
              <w:t>et al</w:t>
            </w:r>
            <w:r w:rsidRPr="00AB25FC">
              <w:rPr>
                <w:sz w:val="22"/>
                <w:szCs w:val="22"/>
                <w:lang w:val="en-US"/>
              </w:rPr>
              <w:t xml:space="preserve">. </w:t>
            </w:r>
            <w:r>
              <w:rPr>
                <w:sz w:val="22"/>
                <w:szCs w:val="22"/>
              </w:rPr>
              <w:t xml:space="preserve">(2017); Li (2020); </w:t>
            </w:r>
            <w:proofErr w:type="spellStart"/>
            <w:r>
              <w:rPr>
                <w:sz w:val="22"/>
                <w:szCs w:val="22"/>
              </w:rPr>
              <w:t>Burke</w:t>
            </w:r>
            <w:proofErr w:type="spellEnd"/>
            <w:r>
              <w:rPr>
                <w:sz w:val="22"/>
                <w:szCs w:val="22"/>
              </w:rPr>
              <w:t xml:space="preserve"> </w:t>
            </w:r>
            <w:r>
              <w:rPr>
                <w:i/>
                <w:sz w:val="22"/>
                <w:szCs w:val="22"/>
              </w:rPr>
              <w:t>et al</w:t>
            </w:r>
            <w:r>
              <w:rPr>
                <w:sz w:val="22"/>
                <w:szCs w:val="22"/>
              </w:rPr>
              <w:t xml:space="preserve">. (2019); </w:t>
            </w:r>
            <w:proofErr w:type="spellStart"/>
            <w:r>
              <w:rPr>
                <w:sz w:val="22"/>
                <w:szCs w:val="22"/>
              </w:rPr>
              <w:t>Hechavarría</w:t>
            </w:r>
            <w:proofErr w:type="spellEnd"/>
            <w:r>
              <w:rPr>
                <w:sz w:val="22"/>
                <w:szCs w:val="22"/>
              </w:rPr>
              <w:t xml:space="preserve"> &amp; </w:t>
            </w:r>
            <w:proofErr w:type="spellStart"/>
            <w:r>
              <w:rPr>
                <w:sz w:val="22"/>
                <w:szCs w:val="22"/>
              </w:rPr>
              <w:t>Brieger</w:t>
            </w:r>
            <w:proofErr w:type="spellEnd"/>
            <w:r>
              <w:rPr>
                <w:sz w:val="22"/>
                <w:szCs w:val="22"/>
              </w:rPr>
              <w:t xml:space="preserve"> (2020); Guerrero </w:t>
            </w:r>
            <w:r>
              <w:rPr>
                <w:i/>
                <w:sz w:val="22"/>
                <w:szCs w:val="22"/>
              </w:rPr>
              <w:t>et al</w:t>
            </w:r>
            <w:r w:rsidR="005B5C38">
              <w:rPr>
                <w:sz w:val="22"/>
                <w:szCs w:val="22"/>
              </w:rPr>
              <w:t>. (2021</w:t>
            </w:r>
            <w:r>
              <w:rPr>
                <w:sz w:val="22"/>
                <w:szCs w:val="22"/>
              </w:rPr>
              <w:t xml:space="preserve">); </w:t>
            </w:r>
            <w:proofErr w:type="spellStart"/>
            <w:r>
              <w:rPr>
                <w:sz w:val="22"/>
                <w:szCs w:val="22"/>
              </w:rPr>
              <w:t>Hechavarría</w:t>
            </w:r>
            <w:proofErr w:type="spellEnd"/>
            <w:r>
              <w:rPr>
                <w:sz w:val="22"/>
                <w:szCs w:val="22"/>
              </w:rPr>
              <w:t xml:space="preserve"> &amp; </w:t>
            </w:r>
            <w:proofErr w:type="spellStart"/>
            <w:r>
              <w:rPr>
                <w:sz w:val="22"/>
                <w:szCs w:val="22"/>
              </w:rPr>
              <w:t>Ingram</w:t>
            </w:r>
            <w:proofErr w:type="spellEnd"/>
            <w:r>
              <w:rPr>
                <w:sz w:val="22"/>
                <w:szCs w:val="22"/>
              </w:rPr>
              <w:t xml:space="preserve"> (2018); Galindo </w:t>
            </w:r>
            <w:r>
              <w:rPr>
                <w:i/>
                <w:sz w:val="22"/>
                <w:szCs w:val="22"/>
              </w:rPr>
              <w:t>et al</w:t>
            </w:r>
            <w:r>
              <w:rPr>
                <w:sz w:val="22"/>
                <w:szCs w:val="22"/>
              </w:rPr>
              <w:t xml:space="preserve">. (2019); </w:t>
            </w:r>
            <w:proofErr w:type="spellStart"/>
            <w:r>
              <w:rPr>
                <w:sz w:val="22"/>
                <w:szCs w:val="22"/>
                <w:highlight w:val="white"/>
              </w:rPr>
              <w:t>Yan</w:t>
            </w:r>
            <w:proofErr w:type="spellEnd"/>
            <w:r>
              <w:rPr>
                <w:sz w:val="22"/>
                <w:szCs w:val="22"/>
                <w:highlight w:val="white"/>
              </w:rPr>
              <w:t xml:space="preserve"> &amp; </w:t>
            </w:r>
            <w:proofErr w:type="spellStart"/>
            <w:r>
              <w:rPr>
                <w:sz w:val="22"/>
                <w:szCs w:val="22"/>
                <w:highlight w:val="white"/>
              </w:rPr>
              <w:t>Guan</w:t>
            </w:r>
            <w:proofErr w:type="spellEnd"/>
            <w:r>
              <w:rPr>
                <w:sz w:val="22"/>
                <w:szCs w:val="22"/>
                <w:highlight w:val="white"/>
              </w:rPr>
              <w:t xml:space="preserve"> (2018).</w:t>
            </w:r>
          </w:p>
        </w:tc>
      </w:tr>
      <w:tr w:rsidR="00D03F78">
        <w:trPr>
          <w:trHeight w:val="211"/>
        </w:trPr>
        <w:tc>
          <w:tcPr>
            <w:tcW w:w="1965" w:type="dxa"/>
            <w:tcBorders>
              <w:top w:val="single" w:sz="4" w:space="0" w:color="000000"/>
              <w:left w:val="nil"/>
              <w:bottom w:val="single" w:sz="4" w:space="0" w:color="000000"/>
              <w:right w:val="nil"/>
            </w:tcBorders>
            <w:vAlign w:val="bottom"/>
          </w:tcPr>
          <w:p w:rsidR="00D03F78" w:rsidRDefault="00AB25FC">
            <w:pPr>
              <w:spacing w:after="0"/>
              <w:ind w:firstLine="0"/>
              <w:rPr>
                <w:sz w:val="22"/>
                <w:szCs w:val="22"/>
              </w:rPr>
            </w:pPr>
            <w:r>
              <w:rPr>
                <w:sz w:val="22"/>
                <w:szCs w:val="22"/>
              </w:rPr>
              <w:t xml:space="preserve">Análisis </w:t>
            </w:r>
            <w:proofErr w:type="spellStart"/>
            <w:r>
              <w:rPr>
                <w:sz w:val="22"/>
                <w:szCs w:val="22"/>
              </w:rPr>
              <w:t>multivariante</w:t>
            </w:r>
            <w:proofErr w:type="spellEnd"/>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highlight w:val="yellow"/>
              </w:rPr>
            </w:pPr>
            <w:r>
              <w:rPr>
                <w:sz w:val="22"/>
                <w:szCs w:val="22"/>
              </w:rPr>
              <w:t xml:space="preserve">Crecente </w:t>
            </w:r>
            <w:r>
              <w:rPr>
                <w:i/>
                <w:sz w:val="22"/>
                <w:szCs w:val="22"/>
              </w:rPr>
              <w:t>et al</w:t>
            </w:r>
            <w:r>
              <w:rPr>
                <w:sz w:val="22"/>
                <w:szCs w:val="22"/>
              </w:rPr>
              <w:t xml:space="preserve">. (2021); </w:t>
            </w:r>
            <w:proofErr w:type="spellStart"/>
            <w:r>
              <w:rPr>
                <w:sz w:val="22"/>
                <w:szCs w:val="22"/>
              </w:rPr>
              <w:t>Pinho</w:t>
            </w:r>
            <w:proofErr w:type="spellEnd"/>
            <w:r>
              <w:rPr>
                <w:sz w:val="22"/>
                <w:szCs w:val="22"/>
              </w:rPr>
              <w:t xml:space="preserve"> &amp; de Lurdes (2020); Young </w:t>
            </w:r>
            <w:r>
              <w:rPr>
                <w:i/>
                <w:sz w:val="22"/>
                <w:szCs w:val="22"/>
              </w:rPr>
              <w:t>et al</w:t>
            </w:r>
            <w:r>
              <w:rPr>
                <w:sz w:val="22"/>
                <w:szCs w:val="22"/>
              </w:rPr>
              <w:t>. (2017).</w:t>
            </w:r>
          </w:p>
        </w:tc>
      </w:tr>
      <w:tr w:rsidR="00D03F78">
        <w:trPr>
          <w:trHeight w:val="674"/>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Análisis comparativo cualitativo</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proofErr w:type="spellStart"/>
            <w:r>
              <w:rPr>
                <w:sz w:val="22"/>
                <w:szCs w:val="22"/>
              </w:rPr>
              <w:t>Beynon</w:t>
            </w:r>
            <w:proofErr w:type="spellEnd"/>
            <w:r>
              <w:rPr>
                <w:sz w:val="22"/>
                <w:szCs w:val="22"/>
              </w:rPr>
              <w:t xml:space="preserve"> </w:t>
            </w:r>
            <w:r>
              <w:rPr>
                <w:i/>
                <w:sz w:val="22"/>
                <w:szCs w:val="22"/>
              </w:rPr>
              <w:t>et al</w:t>
            </w:r>
            <w:r>
              <w:rPr>
                <w:sz w:val="22"/>
                <w:szCs w:val="22"/>
              </w:rPr>
              <w:t xml:space="preserve">. (2020); </w:t>
            </w:r>
            <w:proofErr w:type="spellStart"/>
            <w:r>
              <w:rPr>
                <w:sz w:val="22"/>
                <w:szCs w:val="22"/>
              </w:rPr>
              <w:t>Beynon</w:t>
            </w:r>
            <w:proofErr w:type="spellEnd"/>
            <w:r>
              <w:rPr>
                <w:sz w:val="22"/>
                <w:szCs w:val="22"/>
              </w:rPr>
              <w:t xml:space="preserve"> </w:t>
            </w:r>
            <w:r>
              <w:rPr>
                <w:i/>
                <w:sz w:val="22"/>
                <w:szCs w:val="22"/>
              </w:rPr>
              <w:t>et al</w:t>
            </w:r>
            <w:r>
              <w:rPr>
                <w:sz w:val="22"/>
                <w:szCs w:val="22"/>
              </w:rPr>
              <w:t xml:space="preserve">. (2018); </w:t>
            </w:r>
            <w:proofErr w:type="spellStart"/>
            <w:r>
              <w:rPr>
                <w:sz w:val="22"/>
                <w:szCs w:val="22"/>
                <w:highlight w:val="white"/>
              </w:rPr>
              <w:t>Beynon</w:t>
            </w:r>
            <w:proofErr w:type="spellEnd"/>
            <w:r>
              <w:rPr>
                <w:sz w:val="22"/>
                <w:szCs w:val="22"/>
                <w:highlight w:val="white"/>
              </w:rPr>
              <w:t xml:space="preserve"> </w:t>
            </w:r>
            <w:r>
              <w:rPr>
                <w:i/>
                <w:sz w:val="22"/>
                <w:szCs w:val="22"/>
              </w:rPr>
              <w:t>et al</w:t>
            </w:r>
            <w:r w:rsidR="005B5C38">
              <w:rPr>
                <w:sz w:val="22"/>
                <w:szCs w:val="22"/>
                <w:highlight w:val="white"/>
              </w:rPr>
              <w:t>. (2020</w:t>
            </w:r>
            <w:r>
              <w:rPr>
                <w:sz w:val="22"/>
                <w:szCs w:val="22"/>
                <w:highlight w:val="white"/>
              </w:rPr>
              <w:t xml:space="preserve">); </w:t>
            </w:r>
            <w:r>
              <w:rPr>
                <w:sz w:val="22"/>
                <w:szCs w:val="22"/>
              </w:rPr>
              <w:t xml:space="preserve">Von </w:t>
            </w:r>
            <w:proofErr w:type="spellStart"/>
            <w:r>
              <w:rPr>
                <w:sz w:val="22"/>
                <w:szCs w:val="22"/>
              </w:rPr>
              <w:t>Bloh</w:t>
            </w:r>
            <w:proofErr w:type="spellEnd"/>
            <w:r>
              <w:rPr>
                <w:sz w:val="22"/>
                <w:szCs w:val="22"/>
              </w:rPr>
              <w:t xml:space="preserve">. </w:t>
            </w:r>
            <w:r>
              <w:rPr>
                <w:i/>
                <w:sz w:val="22"/>
                <w:szCs w:val="22"/>
              </w:rPr>
              <w:t>et al</w:t>
            </w:r>
            <w:r>
              <w:rPr>
                <w:sz w:val="22"/>
                <w:szCs w:val="22"/>
              </w:rPr>
              <w:t xml:space="preserve">. (2019a); Von </w:t>
            </w:r>
            <w:proofErr w:type="spellStart"/>
            <w:r>
              <w:rPr>
                <w:sz w:val="22"/>
                <w:szCs w:val="22"/>
              </w:rPr>
              <w:t>Bloh</w:t>
            </w:r>
            <w:proofErr w:type="spellEnd"/>
            <w:r>
              <w:rPr>
                <w:sz w:val="22"/>
                <w:szCs w:val="22"/>
              </w:rPr>
              <w:t xml:space="preserve"> </w:t>
            </w:r>
            <w:r>
              <w:rPr>
                <w:i/>
                <w:sz w:val="22"/>
                <w:szCs w:val="22"/>
              </w:rPr>
              <w:t>et al</w:t>
            </w:r>
            <w:r>
              <w:rPr>
                <w:sz w:val="22"/>
                <w:szCs w:val="22"/>
              </w:rPr>
              <w:t xml:space="preserve">. (2019); Torres &amp; Augusto (2018); </w:t>
            </w:r>
            <w:proofErr w:type="spellStart"/>
            <w:r>
              <w:rPr>
                <w:sz w:val="22"/>
                <w:szCs w:val="22"/>
                <w:highlight w:val="white"/>
              </w:rPr>
              <w:t>Mangeloja</w:t>
            </w:r>
            <w:proofErr w:type="spellEnd"/>
            <w:r>
              <w:rPr>
                <w:sz w:val="22"/>
                <w:szCs w:val="22"/>
                <w:highlight w:val="white"/>
              </w:rPr>
              <w:t xml:space="preserve"> </w:t>
            </w:r>
            <w:r>
              <w:rPr>
                <w:i/>
                <w:sz w:val="22"/>
                <w:szCs w:val="22"/>
              </w:rPr>
              <w:t>et al</w:t>
            </w:r>
            <w:r>
              <w:rPr>
                <w:sz w:val="22"/>
                <w:szCs w:val="22"/>
                <w:highlight w:val="white"/>
              </w:rPr>
              <w:t xml:space="preserve">. (2022); </w:t>
            </w:r>
            <w:proofErr w:type="spellStart"/>
            <w:r>
              <w:rPr>
                <w:sz w:val="22"/>
                <w:szCs w:val="22"/>
              </w:rPr>
              <w:t>Jiang</w:t>
            </w:r>
            <w:proofErr w:type="spellEnd"/>
            <w:r>
              <w:rPr>
                <w:sz w:val="22"/>
                <w:szCs w:val="22"/>
              </w:rPr>
              <w:t xml:space="preserve"> &amp; Fu (2021); </w:t>
            </w:r>
            <w:proofErr w:type="spellStart"/>
            <w:r>
              <w:rPr>
                <w:sz w:val="22"/>
                <w:szCs w:val="22"/>
              </w:rPr>
              <w:t>Huarng</w:t>
            </w:r>
            <w:proofErr w:type="spellEnd"/>
            <w:r>
              <w:rPr>
                <w:sz w:val="22"/>
                <w:szCs w:val="22"/>
              </w:rPr>
              <w:t xml:space="preserve"> &amp; </w:t>
            </w:r>
            <w:proofErr w:type="spellStart"/>
            <w:r>
              <w:rPr>
                <w:sz w:val="22"/>
                <w:szCs w:val="22"/>
              </w:rPr>
              <w:t>Kuang</w:t>
            </w:r>
            <w:proofErr w:type="spellEnd"/>
            <w:r>
              <w:rPr>
                <w:sz w:val="22"/>
                <w:szCs w:val="22"/>
              </w:rPr>
              <w:t xml:space="preserve"> (2022); </w:t>
            </w:r>
            <w:proofErr w:type="spellStart"/>
            <w:r>
              <w:rPr>
                <w:sz w:val="22"/>
                <w:szCs w:val="22"/>
              </w:rPr>
              <w:t>Lawson</w:t>
            </w:r>
            <w:proofErr w:type="spellEnd"/>
            <w:r>
              <w:rPr>
                <w:sz w:val="22"/>
                <w:szCs w:val="22"/>
              </w:rPr>
              <w:t xml:space="preserve"> &amp; </w:t>
            </w:r>
            <w:proofErr w:type="spellStart"/>
            <w:r>
              <w:rPr>
                <w:sz w:val="22"/>
                <w:szCs w:val="22"/>
              </w:rPr>
              <w:t>Chowdhury</w:t>
            </w:r>
            <w:proofErr w:type="spellEnd"/>
            <w:r>
              <w:rPr>
                <w:sz w:val="22"/>
                <w:szCs w:val="22"/>
              </w:rPr>
              <w:t xml:space="preserve"> (2022).</w:t>
            </w:r>
          </w:p>
        </w:tc>
      </w:tr>
      <w:tr w:rsidR="00D03F78">
        <w:trPr>
          <w:trHeight w:val="73"/>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 xml:space="preserve">Ecuaciones estructurales </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proofErr w:type="spellStart"/>
            <w:r>
              <w:rPr>
                <w:sz w:val="22"/>
                <w:szCs w:val="22"/>
              </w:rPr>
              <w:t>Bogatyreva</w:t>
            </w:r>
            <w:proofErr w:type="spellEnd"/>
            <w:r>
              <w:rPr>
                <w:sz w:val="22"/>
                <w:szCs w:val="22"/>
              </w:rPr>
              <w:t xml:space="preserve"> </w:t>
            </w:r>
            <w:r>
              <w:rPr>
                <w:i/>
                <w:sz w:val="22"/>
                <w:szCs w:val="22"/>
              </w:rPr>
              <w:t>et al</w:t>
            </w:r>
            <w:r>
              <w:rPr>
                <w:sz w:val="22"/>
                <w:szCs w:val="22"/>
              </w:rPr>
              <w:t xml:space="preserve">. (2022); Amorós </w:t>
            </w:r>
            <w:r>
              <w:rPr>
                <w:i/>
                <w:sz w:val="22"/>
                <w:szCs w:val="22"/>
              </w:rPr>
              <w:t>et al</w:t>
            </w:r>
            <w:r>
              <w:rPr>
                <w:sz w:val="22"/>
                <w:szCs w:val="22"/>
              </w:rPr>
              <w:t xml:space="preserve">. </w:t>
            </w:r>
            <w:r w:rsidR="002569D0">
              <w:rPr>
                <w:sz w:val="22"/>
                <w:szCs w:val="22"/>
              </w:rPr>
              <w:t>(2021); Peterson (2020</w:t>
            </w:r>
            <w:r>
              <w:rPr>
                <w:sz w:val="22"/>
                <w:szCs w:val="22"/>
              </w:rPr>
              <w:t xml:space="preserve">); </w:t>
            </w:r>
            <w:proofErr w:type="spellStart"/>
            <w:r>
              <w:rPr>
                <w:sz w:val="22"/>
                <w:szCs w:val="22"/>
              </w:rPr>
              <w:t>Chen</w:t>
            </w:r>
            <w:proofErr w:type="spellEnd"/>
            <w:r>
              <w:rPr>
                <w:sz w:val="22"/>
                <w:szCs w:val="22"/>
              </w:rPr>
              <w:t xml:space="preserve"> </w:t>
            </w:r>
            <w:r>
              <w:rPr>
                <w:i/>
                <w:sz w:val="22"/>
                <w:szCs w:val="22"/>
              </w:rPr>
              <w:t>et al</w:t>
            </w:r>
            <w:r>
              <w:rPr>
                <w:sz w:val="22"/>
                <w:szCs w:val="22"/>
              </w:rPr>
              <w:t>. (2017).</w:t>
            </w:r>
          </w:p>
        </w:tc>
      </w:tr>
      <w:tr w:rsidR="00D03F78">
        <w:trPr>
          <w:trHeight w:val="315"/>
        </w:trPr>
        <w:tc>
          <w:tcPr>
            <w:tcW w:w="1965" w:type="dxa"/>
            <w:tcBorders>
              <w:top w:val="single" w:sz="4" w:space="0" w:color="000000"/>
              <w:left w:val="nil"/>
              <w:bottom w:val="single" w:sz="4" w:space="0" w:color="000000"/>
              <w:right w:val="nil"/>
            </w:tcBorders>
          </w:tcPr>
          <w:p w:rsidR="00D03F78" w:rsidRDefault="00AB25FC">
            <w:pPr>
              <w:spacing w:after="0"/>
              <w:ind w:firstLine="0"/>
              <w:rPr>
                <w:sz w:val="22"/>
                <w:szCs w:val="22"/>
              </w:rPr>
            </w:pPr>
            <w:r>
              <w:rPr>
                <w:sz w:val="22"/>
                <w:szCs w:val="22"/>
              </w:rPr>
              <w:t>Estudio de caso</w:t>
            </w:r>
          </w:p>
        </w:tc>
        <w:tc>
          <w:tcPr>
            <w:tcW w:w="7105" w:type="dxa"/>
            <w:gridSpan w:val="2"/>
            <w:tcBorders>
              <w:top w:val="single" w:sz="4" w:space="0" w:color="000000"/>
              <w:left w:val="nil"/>
              <w:bottom w:val="single" w:sz="4" w:space="0" w:color="000000"/>
              <w:right w:val="nil"/>
            </w:tcBorders>
          </w:tcPr>
          <w:p w:rsidR="00D03F78" w:rsidRDefault="00AB25FC">
            <w:pPr>
              <w:spacing w:after="0"/>
              <w:ind w:firstLine="0"/>
              <w:rPr>
                <w:sz w:val="22"/>
                <w:szCs w:val="22"/>
              </w:rPr>
            </w:pPr>
            <w:proofErr w:type="spellStart"/>
            <w:r>
              <w:rPr>
                <w:sz w:val="22"/>
                <w:szCs w:val="22"/>
              </w:rPr>
              <w:t>Sitaridis</w:t>
            </w:r>
            <w:proofErr w:type="spellEnd"/>
            <w:r>
              <w:rPr>
                <w:sz w:val="22"/>
                <w:szCs w:val="22"/>
              </w:rPr>
              <w:t xml:space="preserve"> &amp; </w:t>
            </w:r>
            <w:proofErr w:type="spellStart"/>
            <w:r>
              <w:rPr>
                <w:sz w:val="22"/>
                <w:szCs w:val="22"/>
              </w:rPr>
              <w:t>Kitsios</w:t>
            </w:r>
            <w:proofErr w:type="spellEnd"/>
            <w:r>
              <w:rPr>
                <w:sz w:val="22"/>
                <w:szCs w:val="22"/>
              </w:rPr>
              <w:t xml:space="preserve"> (2019); Crecente </w:t>
            </w:r>
            <w:r>
              <w:rPr>
                <w:i/>
                <w:sz w:val="22"/>
                <w:szCs w:val="22"/>
              </w:rPr>
              <w:t>et al</w:t>
            </w:r>
            <w:r w:rsidR="005B5C38">
              <w:rPr>
                <w:sz w:val="22"/>
                <w:szCs w:val="22"/>
              </w:rPr>
              <w:t>. (2021</w:t>
            </w:r>
            <w:r>
              <w:rPr>
                <w:sz w:val="22"/>
                <w:szCs w:val="22"/>
              </w:rPr>
              <w:t xml:space="preserve">); </w:t>
            </w:r>
            <w:proofErr w:type="spellStart"/>
            <w:r>
              <w:rPr>
                <w:sz w:val="22"/>
                <w:szCs w:val="22"/>
              </w:rPr>
              <w:t>Crittenden</w:t>
            </w:r>
            <w:proofErr w:type="spellEnd"/>
            <w:r>
              <w:rPr>
                <w:sz w:val="22"/>
                <w:szCs w:val="22"/>
              </w:rPr>
              <w:t xml:space="preserve"> &amp; </w:t>
            </w:r>
            <w:proofErr w:type="spellStart"/>
            <w:r>
              <w:rPr>
                <w:sz w:val="22"/>
                <w:szCs w:val="22"/>
              </w:rPr>
              <w:t>Dhebar</w:t>
            </w:r>
            <w:proofErr w:type="spellEnd"/>
            <w:r>
              <w:rPr>
                <w:sz w:val="22"/>
                <w:szCs w:val="22"/>
              </w:rPr>
              <w:t xml:space="preserve"> (2019).</w:t>
            </w:r>
          </w:p>
        </w:tc>
      </w:tr>
    </w:tbl>
    <w:p w:rsidR="00D03F78" w:rsidRDefault="00D03F78"/>
    <w:p w:rsidR="00D03F78" w:rsidRDefault="00AB25FC">
      <w:pPr>
        <w:pStyle w:val="Ttulo2"/>
      </w:pPr>
      <w:r>
        <w:t>DISCUSIÓN</w:t>
      </w:r>
    </w:p>
    <w:p w:rsidR="00D03F78" w:rsidRDefault="00AB25FC">
      <w:r>
        <w:t xml:space="preserve">A partir de los resultados presentados por los diferentes estudios, se puede identificar cómo la investigación ha profundizado en el tema a nivel científico. Los aportes concluyen en la necesidad de reglamentar y fortalecer la iniciativa empresarial como elemento que influye en el desempeño de los países, dado que autores como </w:t>
      </w:r>
      <w:proofErr w:type="spellStart"/>
      <w:r>
        <w:t>Pathak</w:t>
      </w:r>
      <w:proofErr w:type="spellEnd"/>
      <w:r>
        <w:t xml:space="preserve"> y </w:t>
      </w:r>
      <w:proofErr w:type="spellStart"/>
      <w:r>
        <w:t>Muralidharan</w:t>
      </w:r>
      <w:proofErr w:type="spellEnd"/>
      <w:r>
        <w:t xml:space="preserve"> (2017) sostienen que la carencia de leyes que favorezcan al entorno emprendedor genera un decrecimiento y se asocian con el entorno innovador (Amorós </w:t>
      </w:r>
      <w:r w:rsidR="00EB5389">
        <w:rPr>
          <w:i/>
        </w:rPr>
        <w:t>et al</w:t>
      </w:r>
      <w:r>
        <w:t>., 2019), en cuyo contexto es vital la percepción de calidad en las instituciones públicas (</w:t>
      </w:r>
      <w:proofErr w:type="spellStart"/>
      <w:r>
        <w:t>Veiga</w:t>
      </w:r>
      <w:proofErr w:type="spellEnd"/>
      <w:r>
        <w:t xml:space="preserve"> </w:t>
      </w:r>
      <w:r w:rsidR="00EB5389">
        <w:rPr>
          <w:i/>
        </w:rPr>
        <w:t>et al</w:t>
      </w:r>
      <w:r>
        <w:t xml:space="preserve">., 2020). Toda vez que, según Galindo </w:t>
      </w:r>
      <w:r w:rsidR="00EB5389">
        <w:rPr>
          <w:i/>
        </w:rPr>
        <w:t>et al</w:t>
      </w:r>
      <w:r>
        <w:t xml:space="preserve">. (2019), el emprendimiento es multidimensional, incorpora perspectivas funcionalistas que lo vinculan a la innovación, perspectivas sociales y psicológicas y es por esto que se encuentran perspectivas que evidencian la influencia del nivel de desarrollo económico del país en el espíritu empresarial y el desarrollo sostenible (Martínez-Fierro, </w:t>
      </w:r>
      <w:r w:rsidR="00EB5389">
        <w:rPr>
          <w:i/>
        </w:rPr>
        <w:t>et al</w:t>
      </w:r>
      <w:r>
        <w:t>., 2019).</w:t>
      </w:r>
    </w:p>
    <w:p w:rsidR="00D03F78" w:rsidRDefault="00AB25FC">
      <w:r>
        <w:lastRenderedPageBreak/>
        <w:t>La información obtenida a través del proyecto GEM es de gran importancia para el desarrollo del emprendimiento en el mundo, dado que ha permitido identificar que la falta de recursos financieros, la escasa educación empresarial y la falta de acceso a los mercados son desafíos a los que se enfrentan los emprendedores incipientes (</w:t>
      </w:r>
      <w:proofErr w:type="spellStart"/>
      <w:r>
        <w:t>Nakara</w:t>
      </w:r>
      <w:proofErr w:type="spellEnd"/>
      <w:r>
        <w:t xml:space="preserve"> </w:t>
      </w:r>
      <w:r w:rsidR="00EB5389">
        <w:rPr>
          <w:i/>
        </w:rPr>
        <w:t>et al</w:t>
      </w:r>
      <w:r>
        <w:t xml:space="preserve">., 2020; </w:t>
      </w:r>
      <w:proofErr w:type="spellStart"/>
      <w:r>
        <w:t>Pathak</w:t>
      </w:r>
      <w:proofErr w:type="spellEnd"/>
      <w:r>
        <w:t>, 2021). En ese sentido, el mejoramiento del comportamiento emprendedor requiere del manejo de las presiones estatales y el apoyo de las corporaciones (</w:t>
      </w:r>
      <w:proofErr w:type="spellStart"/>
      <w:r>
        <w:t>Eid</w:t>
      </w:r>
      <w:proofErr w:type="spellEnd"/>
      <w:r>
        <w:t xml:space="preserve"> &amp; </w:t>
      </w:r>
      <w:proofErr w:type="spellStart"/>
      <w:r>
        <w:t>Agag</w:t>
      </w:r>
      <w:proofErr w:type="spellEnd"/>
      <w:r>
        <w:t xml:space="preserve">, 2020), por su influencia positiva en el comportamiento innovador de los empleados. Es decir, que los emprendedores deben ser vistos como motor de innovación y cambio social que buscan independencia económica y profesional (Ali </w:t>
      </w:r>
      <w:r w:rsidR="00EB5389">
        <w:rPr>
          <w:i/>
        </w:rPr>
        <w:t>et al</w:t>
      </w:r>
      <w:r>
        <w:t>., 2022), por lo que debe prestarse atención a los factores culturales y sociales que influyen en el emprendimiento en diferentes regiones del mundo (</w:t>
      </w:r>
      <w:proofErr w:type="spellStart"/>
      <w:r>
        <w:t>Pittino</w:t>
      </w:r>
      <w:proofErr w:type="spellEnd"/>
      <w:r>
        <w:t xml:space="preserve"> </w:t>
      </w:r>
      <w:r w:rsidR="00EB5389">
        <w:rPr>
          <w:i/>
        </w:rPr>
        <w:t>et al</w:t>
      </w:r>
      <w:r>
        <w:t>., 2020).</w:t>
      </w:r>
    </w:p>
    <w:p w:rsidR="00D03F78" w:rsidRDefault="00AB25FC">
      <w:r>
        <w:t xml:space="preserve">Por tanto, en todo estudio asociado con el comportamiento de emprender se deben, según Arafat </w:t>
      </w:r>
      <w:r w:rsidR="00EB5389">
        <w:rPr>
          <w:i/>
        </w:rPr>
        <w:t>et al</w:t>
      </w:r>
      <w:r>
        <w:t xml:space="preserve">. (2018), revisar las variables cognitivas y de capital social como determinantes que influyen positivamente en las intenciones emprendedoras. Lo que, para </w:t>
      </w:r>
      <w:proofErr w:type="spellStart"/>
      <w:r>
        <w:t>Sitaridis</w:t>
      </w:r>
      <w:proofErr w:type="spellEnd"/>
      <w:r>
        <w:t xml:space="preserve"> y </w:t>
      </w:r>
      <w:proofErr w:type="spellStart"/>
      <w:r>
        <w:t>Kitsios</w:t>
      </w:r>
      <w:proofErr w:type="spellEnd"/>
      <w:r>
        <w:t xml:space="preserve"> (2019), implica un enfoque multifacético del emprendimiento en el contexto universitario para fomentar las intenciones emprendedoras entre los estudiantes, pues algunos estudios reconocen la solidez institucional y la formación universitaria en emprendimiento como aspectos cruciales para su desarrollo (</w:t>
      </w:r>
      <w:proofErr w:type="spellStart"/>
      <w:r>
        <w:t>Chatterji</w:t>
      </w:r>
      <w:proofErr w:type="spellEnd"/>
      <w:r>
        <w:t xml:space="preserve"> </w:t>
      </w:r>
      <w:r w:rsidR="00EB5389">
        <w:rPr>
          <w:i/>
        </w:rPr>
        <w:t>et al</w:t>
      </w:r>
      <w:r>
        <w:t>., 2014). También, vincular los antecedentes familiares (</w:t>
      </w:r>
      <w:proofErr w:type="spellStart"/>
      <w:r>
        <w:t>Qin</w:t>
      </w:r>
      <w:proofErr w:type="spellEnd"/>
      <w:r>
        <w:t xml:space="preserve"> </w:t>
      </w:r>
      <w:r w:rsidR="00EB5389">
        <w:rPr>
          <w:i/>
        </w:rPr>
        <w:t>et al</w:t>
      </w:r>
      <w:r>
        <w:t>., 2021), favoreciendo la confianza en las instituciones (</w:t>
      </w:r>
      <w:proofErr w:type="spellStart"/>
      <w:r>
        <w:t>Mangeloja</w:t>
      </w:r>
      <w:proofErr w:type="spellEnd"/>
      <w:r>
        <w:t xml:space="preserve"> </w:t>
      </w:r>
      <w:r w:rsidR="00EB5389">
        <w:rPr>
          <w:i/>
        </w:rPr>
        <w:t>et al</w:t>
      </w:r>
      <w:r>
        <w:t>., 2022) y el facilitar el acceso a recursos y conocimientos (</w:t>
      </w:r>
      <w:proofErr w:type="spellStart"/>
      <w:r>
        <w:t>Bogatyreva</w:t>
      </w:r>
      <w:proofErr w:type="spellEnd"/>
      <w:r>
        <w:t xml:space="preserve"> </w:t>
      </w:r>
      <w:r w:rsidR="00EB5389">
        <w:rPr>
          <w:i/>
        </w:rPr>
        <w:t>et al</w:t>
      </w:r>
      <w:r>
        <w:t>., 2022). Es así, como las familias (</w:t>
      </w:r>
      <w:proofErr w:type="spellStart"/>
      <w:r>
        <w:t>Kellermanns</w:t>
      </w:r>
      <w:proofErr w:type="spellEnd"/>
      <w:r>
        <w:t xml:space="preserve"> &amp; </w:t>
      </w:r>
      <w:proofErr w:type="spellStart"/>
      <w:r>
        <w:t>Eddleston</w:t>
      </w:r>
      <w:proofErr w:type="spellEnd"/>
      <w:r>
        <w:t xml:space="preserve">, 2006), a través de sus recursos financieros y conexiones sociales, logran </w:t>
      </w:r>
      <w:proofErr w:type="spellStart"/>
      <w:r>
        <w:t>aperturar</w:t>
      </w:r>
      <w:proofErr w:type="spellEnd"/>
      <w:r>
        <w:t xml:space="preserve"> oportunidades y recursos que de otro modo no estarían disponibles.</w:t>
      </w:r>
    </w:p>
    <w:p w:rsidR="00D03F78" w:rsidRDefault="00AB25FC">
      <w:r>
        <w:t xml:space="preserve">En este sentido, el comportamiento de los emprendedores está influenciado por variables como: innovación (Amorós </w:t>
      </w:r>
      <w:r w:rsidR="00EB5389">
        <w:rPr>
          <w:i/>
        </w:rPr>
        <w:t>et al</w:t>
      </w:r>
      <w:r>
        <w:t>., 2019), experiencia (</w:t>
      </w:r>
      <w:proofErr w:type="spellStart"/>
      <w:r>
        <w:t>Bogatyreva</w:t>
      </w:r>
      <w:proofErr w:type="spellEnd"/>
      <w:r>
        <w:t xml:space="preserve"> </w:t>
      </w:r>
      <w:r w:rsidR="00EB5389">
        <w:rPr>
          <w:i/>
        </w:rPr>
        <w:t>et al</w:t>
      </w:r>
      <w:r>
        <w:t xml:space="preserve">., 2022), oportunidad (Yang </w:t>
      </w:r>
      <w:r w:rsidR="00EB5389">
        <w:rPr>
          <w:i/>
        </w:rPr>
        <w:t>et al</w:t>
      </w:r>
      <w:r>
        <w:t>., 2020) y aptitudes y actitudes (</w:t>
      </w:r>
      <w:proofErr w:type="spellStart"/>
      <w:r>
        <w:t>Sedeh</w:t>
      </w:r>
      <w:proofErr w:type="spellEnd"/>
      <w:r>
        <w:t xml:space="preserve"> </w:t>
      </w:r>
      <w:r w:rsidR="00EB5389">
        <w:rPr>
          <w:i/>
        </w:rPr>
        <w:t>et al</w:t>
      </w:r>
      <w:r>
        <w:t xml:space="preserve">., 2020). Dado que, las condiciones favorables para la creación de empresas y aumentar la tendencia de las personas a aprovecharlas depende de los efectos combinados del entorno social (Puente </w:t>
      </w:r>
      <w:r w:rsidR="00EB5389">
        <w:rPr>
          <w:i/>
        </w:rPr>
        <w:t>et al</w:t>
      </w:r>
      <w:r>
        <w:t>., 2019), la capacidad empresarial (</w:t>
      </w:r>
      <w:proofErr w:type="spellStart"/>
      <w:r>
        <w:t>Burke</w:t>
      </w:r>
      <w:proofErr w:type="spellEnd"/>
      <w:r>
        <w:t xml:space="preserve"> </w:t>
      </w:r>
      <w:r w:rsidR="00EB5389">
        <w:rPr>
          <w:i/>
        </w:rPr>
        <w:t>et al</w:t>
      </w:r>
      <w:r>
        <w:t xml:space="preserve">., 2019) y las evaluaciones de los individuos sobre su capacidad para crear una empresa (Peris </w:t>
      </w:r>
      <w:r w:rsidR="00EB5389">
        <w:rPr>
          <w:i/>
        </w:rPr>
        <w:t>et al</w:t>
      </w:r>
      <w:r>
        <w:t>., 2017) sobre las intenciones empresariales.</w:t>
      </w:r>
    </w:p>
    <w:p w:rsidR="00D03F78" w:rsidRDefault="00AB25FC">
      <w:r>
        <w:rPr>
          <w:highlight w:val="white"/>
        </w:rPr>
        <w:t>Constituir</w:t>
      </w:r>
      <w:r>
        <w:t xml:space="preserve"> un ecosistema fuerte en torno a la actividad emprendedora permitirá explorar diferentes oportunidades de negocio que se conecten con el medio social y sobretodo respondan a necesidades reales y pertinentes del contexto, esto en conexión con aspectos del ámbito </w:t>
      </w:r>
      <w:r>
        <w:lastRenderedPageBreak/>
        <w:t>tecnológico que permiten ser más efectivos en cuanto a los resultados de la organización, toda vez que articular desarrollos desde el punto de vista económico, social, tecnológico, ambiental, entre otras dimensiones considera una mirada integral del emprendimiento frente a su contribución, no solamente a intereses individuales, sino también a la sociedad, pues este es un motor clave para el crecimiento y desarrollo de los territorios (</w:t>
      </w:r>
      <w:proofErr w:type="spellStart"/>
      <w:r>
        <w:t>Soluk</w:t>
      </w:r>
      <w:proofErr w:type="spellEnd"/>
      <w:r>
        <w:t xml:space="preserve">, </w:t>
      </w:r>
      <w:proofErr w:type="spellStart"/>
      <w:r>
        <w:t>Kammerlander</w:t>
      </w:r>
      <w:proofErr w:type="spellEnd"/>
      <w:r>
        <w:t xml:space="preserve"> &amp; Darwin, 2021).</w:t>
      </w:r>
    </w:p>
    <w:p w:rsidR="00D03F78" w:rsidRDefault="00AB25FC">
      <w:r>
        <w:t>En consecuencia, se hace necesario constituir futuras líneas de investigación que busquen promover la comprensión de cómo se llevan las intenciones emprendedoras a emprendimiento en ejecución ya consolidados en el mercado. Para lograr este objetivo, es fundamental recurrir a teorías del comportamiento que abarquen un espectro amplio que incluya la comprensión de las costumbres y creencias, como variables de desarrollo que deben ser promovidas a través de las políticas consideradas en los territorios (</w:t>
      </w:r>
      <w:proofErr w:type="spellStart"/>
      <w:r>
        <w:t>Eid</w:t>
      </w:r>
      <w:proofErr w:type="spellEnd"/>
      <w:r>
        <w:t xml:space="preserve"> &amp; </w:t>
      </w:r>
      <w:proofErr w:type="spellStart"/>
      <w:r>
        <w:t>Agag</w:t>
      </w:r>
      <w:proofErr w:type="spellEnd"/>
      <w:r>
        <w:t>, 2020). Por lo tanto, la pregunta que queda por responder en las futuras investigaciones debe estar orientada a aquellos lineamientos estratégicos que deben darse para fortalecer los emprendimientos incipientes y materializar las intenciones de emprender. De esta manera, se contribuirá a la generación de conocimiento sólido y fundamentado en el campo del emprendimiento, permitiendo un avance significativo en el apoyo y promoción de la actividad emprendedora a nivel global.</w:t>
      </w:r>
    </w:p>
    <w:p w:rsidR="00D03F78" w:rsidRDefault="00AB25FC">
      <w:pPr>
        <w:pStyle w:val="Ttulo2"/>
      </w:pPr>
      <w:r>
        <w:t>CONCLUSIONES</w:t>
      </w:r>
    </w:p>
    <w:p w:rsidR="00D03F78" w:rsidRDefault="00AB25FC">
      <w:r>
        <w:t>En primer lugar, el Proyecto GEM ha proporcionado una valiosa fuente de datos y conocimientos sobre la actividad empresarial a nivel global y los factores que influyen en la creación y el desarrollo de empresas, permitiendo obtener una visión más completa y comparativa de la actividad emprendedora, en la que se identifica la importancia de los factores contextuales en el emprendimiento, las políticas gubernamentales, la innovación, el acceso a recursos, la formación universitaria e incluso la tradición familiar sobre la intención de emprender como fenómeno multifacético y complejo, que está influenciado por una combinación de factores individuales, sociales y contextuales.</w:t>
      </w:r>
    </w:p>
    <w:p w:rsidR="00D03F78" w:rsidRDefault="00AB25FC">
      <w:r>
        <w:t>Si bien el emprendimiento no es el único factor que sustenta el desarrollo sostenible de un territorio, se constituye en una de las formas de movilizar la dinámica económica, productiva y social en aras de constituir mejores condiciones y calidad de vida, no solo para el emprendedor, sino para la comunidad en general.</w:t>
      </w:r>
    </w:p>
    <w:p w:rsidR="00D03F78" w:rsidRDefault="00AB25FC">
      <w:r>
        <w:lastRenderedPageBreak/>
        <w:t>Este estudio pretende conocer el estado actual sobre las investigaciones especializadas en el comportamiento emprendedor. En este sentido, al identificarse las revistas con mayor impacto en la temática, las tendencias y la correlación de los estudios a partir de tres grupos asociados con los emprendimientos incipientes, la intención de emprender y el comportamiento emprendedor, se lograron identificar variables que han sido determinantes para el estudio del emprendimiento. Así, los resultados indican en primera instancia que la intención emprendedora es una variable ampliamente estudiada, mientras que el comportamiento o la acción de emprender, son temas que deben investigarse más a fondo, con el fin de servir de base empírica para futuros estudios que exploren el papel del contexto universitario, social y cultural, como factores determinantes en la decisión de emprender.</w:t>
      </w:r>
    </w:p>
    <w:p w:rsidR="00D03F78" w:rsidRDefault="00AB25FC">
      <w:pPr>
        <w:pStyle w:val="Ttulo2"/>
      </w:pPr>
      <w:r>
        <w:t>CONTRIBUCIÓN DE LOS AUTORES</w:t>
      </w:r>
    </w:p>
    <w:p w:rsidR="00D03F78" w:rsidRDefault="00AB25FC">
      <w:r>
        <w:t xml:space="preserve">Conceptualización: Daniel </w:t>
      </w:r>
      <w:proofErr w:type="spellStart"/>
      <w:r>
        <w:t>Yiwady</w:t>
      </w:r>
      <w:proofErr w:type="spellEnd"/>
      <w:r>
        <w:t xml:space="preserve"> Ordoñez Abril y Andrea Mosquera Guerrero; curación de datos: Daniel </w:t>
      </w:r>
      <w:proofErr w:type="spellStart"/>
      <w:r>
        <w:t>Yiwady</w:t>
      </w:r>
      <w:proofErr w:type="spellEnd"/>
      <w:r>
        <w:t xml:space="preserve"> Ordoñez Abril; análisis formal: Daniel </w:t>
      </w:r>
      <w:proofErr w:type="spellStart"/>
      <w:r>
        <w:t>Yiwady</w:t>
      </w:r>
      <w:proofErr w:type="spellEnd"/>
      <w:r>
        <w:t xml:space="preserve"> Ordoñez Abril, Andrea Mosquera Guerrero, Juan David Mosquera Vargas y Jeison Andrés Orejuela Labio; adquisición de fondos: no aplica; investigación: Daniel </w:t>
      </w:r>
      <w:proofErr w:type="spellStart"/>
      <w:r>
        <w:t>Yiwady</w:t>
      </w:r>
      <w:proofErr w:type="spellEnd"/>
      <w:r>
        <w:t xml:space="preserve"> Ordoñez Abril, Andrea Mosquera Guerrero, Juan David Mosquera Vargas y Jeison Andrés Orejuela Labio; metodología: Daniel </w:t>
      </w:r>
      <w:proofErr w:type="spellStart"/>
      <w:r>
        <w:t>Yiwady</w:t>
      </w:r>
      <w:proofErr w:type="spellEnd"/>
      <w:r>
        <w:t xml:space="preserve"> Ordoñez Abril; administración del proyecto: no aplica; recursos: no aplica; software: Daniel </w:t>
      </w:r>
      <w:proofErr w:type="spellStart"/>
      <w:r>
        <w:t>Yiwady</w:t>
      </w:r>
      <w:proofErr w:type="spellEnd"/>
      <w:r>
        <w:t xml:space="preserve"> Ordoñez Abril; supervisión: Andrea Mosquera; validación: Andrea Mosquera Guerrero; visualización: Daniel </w:t>
      </w:r>
      <w:proofErr w:type="spellStart"/>
      <w:r>
        <w:t>Yiwady</w:t>
      </w:r>
      <w:proofErr w:type="spellEnd"/>
      <w:r>
        <w:t xml:space="preserve"> Ordoñez Abril; redacción: borrador original: Daniel </w:t>
      </w:r>
      <w:proofErr w:type="spellStart"/>
      <w:r>
        <w:t>Yiwady</w:t>
      </w:r>
      <w:proofErr w:type="spellEnd"/>
      <w:r>
        <w:t xml:space="preserve"> Ordoñez Abril, Juan David Mosquera Vargas y Jeison Andrés Orejuela Labio, y redacción: revisión y edición: Andrea Mosquera Guerrero.</w:t>
      </w:r>
    </w:p>
    <w:p w:rsidR="00D03F78" w:rsidRDefault="00AB25FC">
      <w:pPr>
        <w:pStyle w:val="Ttulo2"/>
      </w:pPr>
      <w:r>
        <w:t>CONFLICTOS DE INTERÉS</w:t>
      </w:r>
    </w:p>
    <w:p w:rsidR="00D03F78" w:rsidRDefault="00AB25FC">
      <w:r>
        <w:t>Los autores expresan que no existe conflicto de intereses.</w:t>
      </w:r>
    </w:p>
    <w:p w:rsidR="00D03F78" w:rsidRDefault="00AB25FC">
      <w:pPr>
        <w:pStyle w:val="Ttulo2"/>
      </w:pPr>
      <w:r>
        <w:t>PROCESO DE REVISIÓN</w:t>
      </w:r>
    </w:p>
    <w:p w:rsidR="00D03F78" w:rsidRDefault="00AB25FC">
      <w:r>
        <w:t>Este estudio ha sido revisado por pares externos en la modalidad de doble ciego.</w:t>
      </w:r>
    </w:p>
    <w:p w:rsidR="00D03F78" w:rsidRDefault="00AB25FC">
      <w:pPr>
        <w:pStyle w:val="Ttulo2"/>
      </w:pPr>
      <w:r>
        <w:t>DECLARACIÓN DE DISPONIBILIDAD DE DATOS</w:t>
      </w:r>
    </w:p>
    <w:p w:rsidR="00D03F78" w:rsidRDefault="00AB25FC">
      <w:r>
        <w:t>Los datos se encuentran alojados junto a los demás archivos de este artículo, también se pueden pedir al autor de correspondencia.</w:t>
      </w:r>
    </w:p>
    <w:p w:rsidR="00D03F78" w:rsidRDefault="00AB25FC">
      <w:pPr>
        <w:pStyle w:val="Ttulo2"/>
      </w:pPr>
      <w:r>
        <w:lastRenderedPageBreak/>
        <w:t>REFERENCIAS</w:t>
      </w:r>
    </w:p>
    <w:p w:rsidR="00D03F78" w:rsidRPr="00AB25FC" w:rsidRDefault="00AB25FC">
      <w:pPr>
        <w:ind w:left="709" w:hanging="720"/>
        <w:rPr>
          <w:lang w:val="en-US"/>
        </w:rPr>
      </w:pPr>
      <w:proofErr w:type="spellStart"/>
      <w:r w:rsidRPr="00AB25FC">
        <w:rPr>
          <w:lang w:val="en-US"/>
        </w:rPr>
        <w:t>Acs</w:t>
      </w:r>
      <w:proofErr w:type="spellEnd"/>
      <w:r w:rsidRPr="00AB25FC">
        <w:rPr>
          <w:lang w:val="en-US"/>
        </w:rPr>
        <w:t xml:space="preserve">, Z. J., Estrin, S., Mickiewicz, T., &amp; </w:t>
      </w:r>
      <w:proofErr w:type="spellStart"/>
      <w:r w:rsidRPr="00AB25FC">
        <w:rPr>
          <w:lang w:val="en-US"/>
        </w:rPr>
        <w:t>Szerb</w:t>
      </w:r>
      <w:proofErr w:type="spellEnd"/>
      <w:r w:rsidRPr="00AB25FC">
        <w:rPr>
          <w:lang w:val="en-US"/>
        </w:rPr>
        <w:t xml:space="preserve">, L. (2018). Entrepreneurship, institutional economics, and economic growth: an ecosystem perspective. </w:t>
      </w:r>
      <w:r w:rsidRPr="00AB25FC">
        <w:rPr>
          <w:i/>
          <w:lang w:val="en-US"/>
        </w:rPr>
        <w:t>Small Business Economics, 51</w:t>
      </w:r>
      <w:r w:rsidRPr="00AB25FC">
        <w:rPr>
          <w:lang w:val="en-US"/>
        </w:rPr>
        <w:t>, 501-514. http://dx.doi.org/10.1007/s11187-018-0013-9</w:t>
      </w:r>
    </w:p>
    <w:p w:rsidR="00D03F78" w:rsidRPr="00AB25FC" w:rsidRDefault="00AB25FC">
      <w:pPr>
        <w:ind w:left="709" w:hanging="720"/>
        <w:rPr>
          <w:lang w:val="en-US"/>
        </w:rPr>
      </w:pPr>
      <w:r w:rsidRPr="00AB25FC">
        <w:rPr>
          <w:lang w:val="en-US"/>
        </w:rPr>
        <w:t xml:space="preserve">Ali, J., Burhan, M., &amp; </w:t>
      </w:r>
      <w:proofErr w:type="spellStart"/>
      <w:r w:rsidRPr="00AB25FC">
        <w:rPr>
          <w:lang w:val="en-US"/>
        </w:rPr>
        <w:t>Jabeen</w:t>
      </w:r>
      <w:proofErr w:type="spellEnd"/>
      <w:r w:rsidRPr="00AB25FC">
        <w:rPr>
          <w:lang w:val="en-US"/>
        </w:rPr>
        <w:t xml:space="preserve">, Z. (2022). Factors affecting entrepreneurial intention among the rural population in India. </w:t>
      </w:r>
      <w:r w:rsidRPr="00AB25FC">
        <w:rPr>
          <w:i/>
          <w:lang w:val="en-US"/>
        </w:rPr>
        <w:t>European Business Review, 35</w:t>
      </w:r>
      <w:r w:rsidRPr="00AB25FC">
        <w:rPr>
          <w:lang w:val="en-US"/>
        </w:rPr>
        <w:t>(1), 74-91. http://dx.doi.org/10.1108/EBR-05-2022-0082</w:t>
      </w:r>
    </w:p>
    <w:p w:rsidR="00D03F78" w:rsidRPr="00AB25FC" w:rsidRDefault="00AB25FC">
      <w:pPr>
        <w:ind w:left="709" w:hanging="720"/>
        <w:rPr>
          <w:lang w:val="en-US"/>
        </w:rPr>
      </w:pPr>
      <w:proofErr w:type="spellStart"/>
      <w:r w:rsidRPr="00AB25FC">
        <w:rPr>
          <w:lang w:val="en-US"/>
        </w:rPr>
        <w:t>Amorós</w:t>
      </w:r>
      <w:proofErr w:type="spellEnd"/>
      <w:r w:rsidRPr="00AB25FC">
        <w:rPr>
          <w:lang w:val="en-US"/>
        </w:rPr>
        <w:t xml:space="preserve">, J. E., Poblete, C., &amp; </w:t>
      </w:r>
      <w:proofErr w:type="spellStart"/>
      <w:r w:rsidRPr="00AB25FC">
        <w:rPr>
          <w:lang w:val="en-US"/>
        </w:rPr>
        <w:t>Mandakovic</w:t>
      </w:r>
      <w:proofErr w:type="spellEnd"/>
      <w:r w:rsidRPr="00AB25FC">
        <w:rPr>
          <w:lang w:val="en-US"/>
        </w:rPr>
        <w:t xml:space="preserve">, V. (2019). R&amp;D transfer, policy and innovative ambitious entrepreneurship: evidence from Latin American countries. </w:t>
      </w:r>
      <w:r w:rsidRPr="00AB25FC">
        <w:rPr>
          <w:i/>
          <w:lang w:val="en-US"/>
        </w:rPr>
        <w:t>The Journal of Technology Transfer, 44</w:t>
      </w:r>
      <w:r w:rsidRPr="00AB25FC">
        <w:rPr>
          <w:lang w:val="en-US"/>
        </w:rPr>
        <w:t>, 1396-1415. http://dx.doi.org/10.1007/s10961-019-09728-x</w:t>
      </w:r>
    </w:p>
    <w:p w:rsidR="00D03F78" w:rsidRPr="00AB25FC" w:rsidRDefault="00AB25FC">
      <w:pPr>
        <w:ind w:left="709" w:hanging="720"/>
        <w:rPr>
          <w:lang w:val="en-US"/>
        </w:rPr>
      </w:pPr>
      <w:proofErr w:type="spellStart"/>
      <w:r w:rsidRPr="00AB25FC">
        <w:rPr>
          <w:lang w:val="pt-BR"/>
        </w:rPr>
        <w:t>Amorós</w:t>
      </w:r>
      <w:proofErr w:type="spellEnd"/>
      <w:r w:rsidRPr="00AB25FC">
        <w:rPr>
          <w:lang w:val="pt-BR"/>
        </w:rPr>
        <w:t xml:space="preserve">, J. E., Leiva, J. C., </w:t>
      </w:r>
      <w:proofErr w:type="spellStart"/>
      <w:r w:rsidRPr="00AB25FC">
        <w:rPr>
          <w:lang w:val="pt-BR"/>
        </w:rPr>
        <w:t>Bonomo</w:t>
      </w:r>
      <w:proofErr w:type="spellEnd"/>
      <w:r w:rsidRPr="00AB25FC">
        <w:rPr>
          <w:lang w:val="pt-BR"/>
        </w:rPr>
        <w:t xml:space="preserve">, A., &amp; </w:t>
      </w:r>
      <w:proofErr w:type="spellStart"/>
      <w:r w:rsidRPr="00AB25FC">
        <w:rPr>
          <w:lang w:val="pt-BR"/>
        </w:rPr>
        <w:t>Sosa</w:t>
      </w:r>
      <w:proofErr w:type="spellEnd"/>
      <w:r w:rsidRPr="00AB25FC">
        <w:rPr>
          <w:lang w:val="pt-BR"/>
        </w:rPr>
        <w:t xml:space="preserve"> Varela, J. C. (2021). </w:t>
      </w:r>
      <w:r w:rsidRPr="00AB25FC">
        <w:rPr>
          <w:lang w:val="en-US"/>
        </w:rPr>
        <w:t xml:space="preserve">Guest editorial: the entrepreneurship challenges in Latin America. </w:t>
      </w:r>
      <w:r w:rsidRPr="00AB25FC">
        <w:rPr>
          <w:i/>
          <w:lang w:val="en-US"/>
        </w:rPr>
        <w:t>European Business Review, 33</w:t>
      </w:r>
      <w:r w:rsidRPr="00AB25FC">
        <w:rPr>
          <w:lang w:val="en-US"/>
        </w:rPr>
        <w:t>(6), 837-848. http://dx.doi.org/10.1108/EBR-10-2021-0225</w:t>
      </w:r>
    </w:p>
    <w:p w:rsidR="00D03F78" w:rsidRPr="00AB25FC" w:rsidRDefault="00AB25FC">
      <w:pPr>
        <w:ind w:left="709" w:hanging="720"/>
        <w:rPr>
          <w:lang w:val="en-US"/>
        </w:rPr>
      </w:pPr>
      <w:r w:rsidRPr="00AB25FC">
        <w:rPr>
          <w:lang w:val="en-US"/>
        </w:rPr>
        <w:t xml:space="preserve">Arafat, M. Y., </w:t>
      </w:r>
      <w:proofErr w:type="spellStart"/>
      <w:r w:rsidRPr="00AB25FC">
        <w:rPr>
          <w:lang w:val="en-US"/>
        </w:rPr>
        <w:t>Saleem</w:t>
      </w:r>
      <w:proofErr w:type="spellEnd"/>
      <w:r w:rsidRPr="00AB25FC">
        <w:rPr>
          <w:lang w:val="en-US"/>
        </w:rPr>
        <w:t xml:space="preserve">, I., </w:t>
      </w:r>
      <w:proofErr w:type="spellStart"/>
      <w:r>
        <w:rPr>
          <w:lang w:val="en-US"/>
        </w:rPr>
        <w:t>Dwivedi</w:t>
      </w:r>
      <w:proofErr w:type="spellEnd"/>
      <w:r>
        <w:rPr>
          <w:lang w:val="en-US"/>
        </w:rPr>
        <w:t>, A. K., &amp; Khan, A. (2018</w:t>
      </w:r>
      <w:r w:rsidRPr="00AB25FC">
        <w:rPr>
          <w:lang w:val="en-US"/>
        </w:rPr>
        <w:t xml:space="preserve">). Determinants of agricultural entrepreneurship: a GEM data based study. </w:t>
      </w:r>
      <w:r w:rsidRPr="00AB25FC">
        <w:rPr>
          <w:i/>
          <w:lang w:val="en-US"/>
        </w:rPr>
        <w:t>International Entrepreneurship and Management Journal, 16</w:t>
      </w:r>
      <w:r w:rsidRPr="00AB25FC">
        <w:rPr>
          <w:lang w:val="en-US"/>
        </w:rPr>
        <w:t>, 345-370. http://dx.doi.org/10.1007/s11365-018-0540-5</w:t>
      </w:r>
    </w:p>
    <w:p w:rsidR="00D03F78" w:rsidRDefault="00AB25FC">
      <w:pPr>
        <w:ind w:left="709" w:hanging="720"/>
      </w:pPr>
      <w:r>
        <w:t>Asociación Americana de Psicología, APA (2010). Diccionario conciso de psicología. 1.ª ed., 7, 108, 273, Manual Moderno, México.</w:t>
      </w:r>
    </w:p>
    <w:p w:rsidR="00D03F78" w:rsidRPr="00AB25FC" w:rsidRDefault="00AB25FC">
      <w:pPr>
        <w:ind w:left="709" w:hanging="720"/>
        <w:rPr>
          <w:lang w:val="en-US"/>
        </w:rPr>
      </w:pPr>
      <w:r w:rsidRPr="00AB25FC">
        <w:rPr>
          <w:lang w:val="pt-BR"/>
        </w:rPr>
        <w:t xml:space="preserve">Bernal, P., </w:t>
      </w:r>
      <w:proofErr w:type="spellStart"/>
      <w:r w:rsidRPr="00AB25FC">
        <w:rPr>
          <w:lang w:val="pt-BR"/>
        </w:rPr>
        <w:t>Do</w:t>
      </w:r>
      <w:r>
        <w:rPr>
          <w:lang w:val="pt-BR"/>
        </w:rPr>
        <w:t>mínguez</w:t>
      </w:r>
      <w:proofErr w:type="spellEnd"/>
      <w:r>
        <w:rPr>
          <w:lang w:val="pt-BR"/>
        </w:rPr>
        <w:t xml:space="preserve">, B., &amp; </w:t>
      </w:r>
      <w:proofErr w:type="spellStart"/>
      <w:r>
        <w:rPr>
          <w:lang w:val="pt-BR"/>
        </w:rPr>
        <w:t>Montero</w:t>
      </w:r>
      <w:proofErr w:type="spellEnd"/>
      <w:r>
        <w:rPr>
          <w:lang w:val="pt-BR"/>
        </w:rPr>
        <w:t>, J. (2021</w:t>
      </w:r>
      <w:r w:rsidRPr="00AB25FC">
        <w:rPr>
          <w:lang w:val="pt-BR"/>
        </w:rPr>
        <w:t xml:space="preserve">). </w:t>
      </w:r>
      <w:r w:rsidRPr="00AB25FC">
        <w:rPr>
          <w:lang w:val="en-US"/>
        </w:rPr>
        <w:t xml:space="preserve">When are entrepreneurs more environmentally oriented? An analysis of stakeholders' pressures at different stages of evolution of the venture. </w:t>
      </w:r>
      <w:r w:rsidRPr="00AB25FC">
        <w:rPr>
          <w:i/>
          <w:lang w:val="en-US"/>
        </w:rPr>
        <w:t>Business Strategy and the Environment, 31</w:t>
      </w:r>
      <w:r w:rsidRPr="00AB25FC">
        <w:rPr>
          <w:lang w:val="en-US"/>
        </w:rPr>
        <w:t>(3), 828-844. http://dx.doi.org/10.1002/bse.2920</w:t>
      </w:r>
    </w:p>
    <w:p w:rsidR="00D03F78" w:rsidRPr="00AB25FC" w:rsidRDefault="00AB25FC">
      <w:pPr>
        <w:ind w:left="709" w:hanging="720"/>
        <w:rPr>
          <w:lang w:val="en-US"/>
        </w:rPr>
      </w:pPr>
      <w:proofErr w:type="spellStart"/>
      <w:r w:rsidRPr="00AB25FC">
        <w:rPr>
          <w:lang w:val="en-US"/>
        </w:rPr>
        <w:t>Beynon</w:t>
      </w:r>
      <w:proofErr w:type="spellEnd"/>
      <w:r w:rsidRPr="00AB25FC">
        <w:rPr>
          <w:lang w:val="en-US"/>
        </w:rPr>
        <w:t xml:space="preserve">, M., </w:t>
      </w:r>
      <w:proofErr w:type="spellStart"/>
      <w:r w:rsidRPr="00AB25FC">
        <w:rPr>
          <w:lang w:val="en-US"/>
        </w:rPr>
        <w:t>Battisti</w:t>
      </w:r>
      <w:proofErr w:type="spellEnd"/>
      <w:r w:rsidRPr="00AB25FC">
        <w:rPr>
          <w:lang w:val="en-US"/>
        </w:rPr>
        <w:t>, M., J</w:t>
      </w:r>
      <w:r>
        <w:rPr>
          <w:lang w:val="en-US"/>
        </w:rPr>
        <w:t xml:space="preserve">ones, P., &amp; </w:t>
      </w:r>
      <w:proofErr w:type="spellStart"/>
      <w:r>
        <w:rPr>
          <w:lang w:val="en-US"/>
        </w:rPr>
        <w:t>Pickernell</w:t>
      </w:r>
      <w:proofErr w:type="spellEnd"/>
      <w:r>
        <w:rPr>
          <w:lang w:val="en-US"/>
        </w:rPr>
        <w:t>, D. (2020</w:t>
      </w:r>
      <w:r w:rsidRPr="00AB25FC">
        <w:rPr>
          <w:lang w:val="en-US"/>
        </w:rPr>
        <w:t xml:space="preserve">). How institutions matter in the context of business exit: A country comparison using GEM data and </w:t>
      </w:r>
      <w:proofErr w:type="spellStart"/>
      <w:r w:rsidRPr="00AB25FC">
        <w:rPr>
          <w:lang w:val="en-US"/>
        </w:rPr>
        <w:t>fsQCA</w:t>
      </w:r>
      <w:proofErr w:type="spellEnd"/>
      <w:r w:rsidRPr="00AB25FC">
        <w:rPr>
          <w:lang w:val="en-US"/>
        </w:rPr>
        <w:t xml:space="preserve">. </w:t>
      </w:r>
      <w:r w:rsidRPr="00AB25FC">
        <w:rPr>
          <w:i/>
          <w:lang w:val="en-US"/>
        </w:rPr>
        <w:t>British Journal of Management, 32</w:t>
      </w:r>
      <w:r w:rsidRPr="00AB25FC">
        <w:rPr>
          <w:lang w:val="en-US"/>
        </w:rPr>
        <w:t>(3), 832-851. http://dx.doi.org/10.1111/1467-8551.12438</w:t>
      </w:r>
    </w:p>
    <w:p w:rsidR="00D03F78" w:rsidRPr="00AB25FC" w:rsidRDefault="00AB25FC">
      <w:pPr>
        <w:ind w:left="709" w:hanging="720"/>
        <w:rPr>
          <w:lang w:val="en-US"/>
        </w:rPr>
      </w:pPr>
      <w:proofErr w:type="spellStart"/>
      <w:r w:rsidRPr="00AB25FC">
        <w:rPr>
          <w:lang w:val="en-US"/>
        </w:rPr>
        <w:t>Beynon</w:t>
      </w:r>
      <w:proofErr w:type="spellEnd"/>
      <w:r w:rsidRPr="00AB25FC">
        <w:rPr>
          <w:lang w:val="en-US"/>
        </w:rPr>
        <w:t xml:space="preserve">, M. J., Jones, P., &amp; </w:t>
      </w:r>
      <w:proofErr w:type="spellStart"/>
      <w:r w:rsidRPr="00AB25FC">
        <w:rPr>
          <w:lang w:val="en-US"/>
        </w:rPr>
        <w:t>Pickernell</w:t>
      </w:r>
      <w:proofErr w:type="spellEnd"/>
      <w:r w:rsidRPr="00AB25FC">
        <w:rPr>
          <w:lang w:val="en-US"/>
        </w:rPr>
        <w:t xml:space="preserve">, D. (2018). Entrepreneurial climate and self-perceptions about entrepreneurship: a country comparison using </w:t>
      </w:r>
      <w:proofErr w:type="spellStart"/>
      <w:r w:rsidRPr="00AB25FC">
        <w:rPr>
          <w:lang w:val="en-US"/>
        </w:rPr>
        <w:t>fsQCA</w:t>
      </w:r>
      <w:proofErr w:type="spellEnd"/>
      <w:r w:rsidRPr="00AB25FC">
        <w:rPr>
          <w:lang w:val="en-US"/>
        </w:rPr>
        <w:t xml:space="preserve"> with dual outcomes. </w:t>
      </w:r>
      <w:r w:rsidRPr="00AB25FC">
        <w:rPr>
          <w:i/>
          <w:lang w:val="en-US"/>
        </w:rPr>
        <w:t>Journal of Business Research, 89</w:t>
      </w:r>
      <w:r w:rsidRPr="00AB25FC">
        <w:rPr>
          <w:lang w:val="en-US"/>
        </w:rPr>
        <w:t>, 418-428. http://dx.doi.org/10.1016/j.jbusres.2017.12.014</w:t>
      </w:r>
    </w:p>
    <w:p w:rsidR="00D03F78" w:rsidRPr="00AB25FC" w:rsidRDefault="00AB25FC">
      <w:pPr>
        <w:ind w:left="709" w:hanging="720"/>
        <w:rPr>
          <w:lang w:val="en-US"/>
        </w:rPr>
      </w:pPr>
      <w:proofErr w:type="spellStart"/>
      <w:r w:rsidRPr="00AB25FC">
        <w:rPr>
          <w:lang w:val="en-US"/>
        </w:rPr>
        <w:lastRenderedPageBreak/>
        <w:t>Beynon</w:t>
      </w:r>
      <w:proofErr w:type="spellEnd"/>
      <w:r w:rsidRPr="00AB25FC">
        <w:rPr>
          <w:lang w:val="en-US"/>
        </w:rPr>
        <w:t xml:space="preserve">, M. J., Jones, P., &amp; </w:t>
      </w:r>
      <w:proofErr w:type="spellStart"/>
      <w:r w:rsidRPr="00AB25FC">
        <w:rPr>
          <w:lang w:val="en-US"/>
        </w:rPr>
        <w:t>Pickernell</w:t>
      </w:r>
      <w:proofErr w:type="spellEnd"/>
      <w:r w:rsidRPr="00AB25FC">
        <w:rPr>
          <w:lang w:val="en-US"/>
        </w:rPr>
        <w:t xml:space="preserve">, D. (2020). Country-level entrepreneurial attitudes and activity through the years: A panel data analysis using </w:t>
      </w:r>
      <w:proofErr w:type="spellStart"/>
      <w:r w:rsidRPr="00AB25FC">
        <w:rPr>
          <w:lang w:val="en-US"/>
        </w:rPr>
        <w:t>fsQCA</w:t>
      </w:r>
      <w:proofErr w:type="spellEnd"/>
      <w:r w:rsidRPr="00AB25FC">
        <w:rPr>
          <w:lang w:val="en-US"/>
        </w:rPr>
        <w:t xml:space="preserve">. </w:t>
      </w:r>
      <w:r w:rsidRPr="00AB25FC">
        <w:rPr>
          <w:i/>
          <w:lang w:val="en-US"/>
        </w:rPr>
        <w:t>Journal of Business Research, 115</w:t>
      </w:r>
      <w:r w:rsidRPr="00AB25FC">
        <w:rPr>
          <w:lang w:val="en-US"/>
        </w:rPr>
        <w:t>, 443-455. http://dx.doi.org/10.1016/j.jbusres.2019.11.021</w:t>
      </w:r>
    </w:p>
    <w:p w:rsidR="00D03F78" w:rsidRDefault="00AB25FC">
      <w:pPr>
        <w:ind w:left="709" w:hanging="720"/>
        <w:rPr>
          <w:lang w:val="en-US"/>
        </w:rPr>
      </w:pPr>
      <w:proofErr w:type="spellStart"/>
      <w:r w:rsidRPr="00AB25FC">
        <w:rPr>
          <w:lang w:val="pt-BR"/>
        </w:rPr>
        <w:t>Bogatyreva</w:t>
      </w:r>
      <w:proofErr w:type="spellEnd"/>
      <w:r w:rsidRPr="00AB25FC">
        <w:rPr>
          <w:lang w:val="pt-BR"/>
        </w:rPr>
        <w:t xml:space="preserve">, K., </w:t>
      </w:r>
      <w:proofErr w:type="spellStart"/>
      <w:r w:rsidRPr="00AB25FC">
        <w:rPr>
          <w:lang w:val="pt-BR"/>
        </w:rPr>
        <w:t>Laskovaia</w:t>
      </w:r>
      <w:proofErr w:type="spellEnd"/>
      <w:r w:rsidRPr="00AB25FC">
        <w:rPr>
          <w:lang w:val="pt-BR"/>
        </w:rPr>
        <w:t xml:space="preserve">, A., &amp; </w:t>
      </w:r>
      <w:proofErr w:type="spellStart"/>
      <w:r w:rsidRPr="00AB25FC">
        <w:rPr>
          <w:lang w:val="pt-BR"/>
        </w:rPr>
        <w:t>Osiyevskyy</w:t>
      </w:r>
      <w:proofErr w:type="spellEnd"/>
      <w:r w:rsidRPr="00AB25FC">
        <w:rPr>
          <w:lang w:val="pt-BR"/>
        </w:rPr>
        <w:t xml:space="preserve">, O. (2022). </w:t>
      </w:r>
      <w:r w:rsidRPr="00AB25FC">
        <w:rPr>
          <w:lang w:val="en-US"/>
        </w:rPr>
        <w:t xml:space="preserve">Entrepreneurial activity, intrapreneurship, and conducive institutions: Is there a connection? </w:t>
      </w:r>
      <w:r w:rsidRPr="00AB25FC">
        <w:rPr>
          <w:i/>
          <w:lang w:val="en-US"/>
        </w:rPr>
        <w:t>Journal of Business Research, 146</w:t>
      </w:r>
      <w:r w:rsidRPr="00AB25FC">
        <w:rPr>
          <w:lang w:val="en-US"/>
        </w:rPr>
        <w:t>, 45-56.</w:t>
      </w:r>
      <w:r w:rsidRPr="005B5C38">
        <w:t xml:space="preserve"> </w:t>
      </w:r>
      <w:hyperlink r:id="rId18" w:history="1">
        <w:r w:rsidR="005B5C38" w:rsidRPr="005B5C38">
          <w:rPr>
            <w:lang w:val="en-US"/>
          </w:rPr>
          <w:t>http://dx.doi.org/10.1016/j.jbusres.2022.03.062</w:t>
        </w:r>
      </w:hyperlink>
    </w:p>
    <w:p w:rsidR="005B5C38" w:rsidRPr="00AB25FC" w:rsidRDefault="005B5C38" w:rsidP="005B5C38">
      <w:pPr>
        <w:ind w:left="709" w:hanging="720"/>
        <w:rPr>
          <w:lang w:val="en-US"/>
        </w:rPr>
      </w:pPr>
      <w:r w:rsidRPr="00AB25FC">
        <w:rPr>
          <w:lang w:val="en-US"/>
        </w:rPr>
        <w:t>Boudre</w:t>
      </w:r>
      <w:r>
        <w:rPr>
          <w:lang w:val="en-US"/>
        </w:rPr>
        <w:t xml:space="preserve">aux, C. J., &amp; </w:t>
      </w:r>
      <w:proofErr w:type="spellStart"/>
      <w:r>
        <w:rPr>
          <w:lang w:val="en-US"/>
        </w:rPr>
        <w:t>Nikolaev</w:t>
      </w:r>
      <w:proofErr w:type="spellEnd"/>
      <w:r>
        <w:rPr>
          <w:lang w:val="en-US"/>
        </w:rPr>
        <w:t>, B. (2018</w:t>
      </w:r>
      <w:r w:rsidRPr="00AB25FC">
        <w:rPr>
          <w:lang w:val="en-US"/>
        </w:rPr>
        <w:t xml:space="preserve">). Capital is not enough: opportunity entrepreneurship and formal institutions. </w:t>
      </w:r>
      <w:r w:rsidRPr="00AB25FC">
        <w:rPr>
          <w:i/>
          <w:lang w:val="en-US"/>
        </w:rPr>
        <w:t>Small Business Economics, 53</w:t>
      </w:r>
      <w:r w:rsidRPr="00AB25FC">
        <w:rPr>
          <w:lang w:val="en-US"/>
        </w:rPr>
        <w:t>, 709-738. http://dx.doi.org/10.1007/s11187-018-0068-7</w:t>
      </w:r>
    </w:p>
    <w:p w:rsidR="00D03F78" w:rsidRPr="00AB25FC" w:rsidRDefault="00AB25FC">
      <w:pPr>
        <w:ind w:left="709" w:hanging="720"/>
        <w:rPr>
          <w:lang w:val="en-US"/>
        </w:rPr>
      </w:pPr>
      <w:r w:rsidRPr="00AB25FC">
        <w:rPr>
          <w:lang w:val="en-US"/>
        </w:rPr>
        <w:t xml:space="preserve">Boudreaux, C. J., </w:t>
      </w:r>
      <w:proofErr w:type="spellStart"/>
      <w:r w:rsidRPr="00AB25FC">
        <w:rPr>
          <w:lang w:val="en-US"/>
        </w:rPr>
        <w:t>Nikolaev</w:t>
      </w:r>
      <w:proofErr w:type="spellEnd"/>
      <w:r w:rsidRPr="00AB25FC">
        <w:rPr>
          <w:lang w:val="en-US"/>
        </w:rPr>
        <w:t xml:space="preserve">, B. N., &amp; Klein, P. (2019). Socio-cognitive traits and entrepreneurship: The moderating role of economic institutions. </w:t>
      </w:r>
      <w:r w:rsidRPr="00AB25FC">
        <w:rPr>
          <w:i/>
          <w:lang w:val="en-US"/>
        </w:rPr>
        <w:t>Journal of Business Venturing, 34</w:t>
      </w:r>
      <w:r w:rsidRPr="00AB25FC">
        <w:rPr>
          <w:lang w:val="en-US"/>
        </w:rPr>
        <w:t>(1), 178-196. http://dx.doi.org/10.1016/j.jbusvent.2018.08.003</w:t>
      </w:r>
    </w:p>
    <w:p w:rsidR="00D03F78" w:rsidRPr="00AB25FC" w:rsidRDefault="00AB25FC">
      <w:pPr>
        <w:ind w:left="709" w:hanging="720"/>
        <w:rPr>
          <w:lang w:val="en-US"/>
        </w:rPr>
      </w:pPr>
      <w:r w:rsidRPr="00AB25FC">
        <w:rPr>
          <w:lang w:val="en-US"/>
        </w:rPr>
        <w:t>Burke, A.,</w:t>
      </w:r>
      <w:r w:rsidR="005B5C38">
        <w:rPr>
          <w:lang w:val="en-US"/>
        </w:rPr>
        <w:t xml:space="preserve"> </w:t>
      </w:r>
      <w:proofErr w:type="spellStart"/>
      <w:r w:rsidR="005B5C38">
        <w:rPr>
          <w:lang w:val="en-US"/>
        </w:rPr>
        <w:t>Zawwar</w:t>
      </w:r>
      <w:proofErr w:type="spellEnd"/>
      <w:r w:rsidR="005B5C38">
        <w:rPr>
          <w:lang w:val="en-US"/>
        </w:rPr>
        <w:t xml:space="preserve">, I., &amp; </w:t>
      </w:r>
      <w:proofErr w:type="spellStart"/>
      <w:r w:rsidR="005B5C38">
        <w:rPr>
          <w:lang w:val="en-US"/>
        </w:rPr>
        <w:t>Hussels</w:t>
      </w:r>
      <w:proofErr w:type="spellEnd"/>
      <w:r w:rsidR="005B5C38">
        <w:rPr>
          <w:lang w:val="en-US"/>
        </w:rPr>
        <w:t>, S. (2019</w:t>
      </w:r>
      <w:r w:rsidRPr="00AB25FC">
        <w:rPr>
          <w:lang w:val="en-US"/>
        </w:rPr>
        <w:t xml:space="preserve">). Do freelance independent contractors promote entrepreneurship? </w:t>
      </w:r>
      <w:r w:rsidRPr="00AB25FC">
        <w:rPr>
          <w:i/>
          <w:lang w:val="en-US"/>
        </w:rPr>
        <w:t>Small Business Economics, 55</w:t>
      </w:r>
      <w:r w:rsidRPr="00AB25FC">
        <w:rPr>
          <w:lang w:val="en-US"/>
        </w:rPr>
        <w:t>, 415-427. http://dx.doi.org/10.1007/s11187-019-00242-w</w:t>
      </w:r>
    </w:p>
    <w:p w:rsidR="00D03F78" w:rsidRPr="00AB25FC" w:rsidRDefault="00AB25FC">
      <w:pPr>
        <w:ind w:left="709" w:hanging="720"/>
        <w:rPr>
          <w:lang w:val="en-US"/>
        </w:rPr>
      </w:pPr>
      <w:proofErr w:type="spellStart"/>
      <w:r w:rsidRPr="00AB25FC">
        <w:rPr>
          <w:lang w:val="en-US"/>
        </w:rPr>
        <w:t>Calza</w:t>
      </w:r>
      <w:proofErr w:type="spellEnd"/>
      <w:r w:rsidRPr="00AB25FC">
        <w:rPr>
          <w:lang w:val="en-US"/>
        </w:rPr>
        <w:t xml:space="preserve">, F., </w:t>
      </w:r>
      <w:proofErr w:type="spellStart"/>
      <w:r w:rsidRPr="00AB25FC">
        <w:rPr>
          <w:lang w:val="en-US"/>
        </w:rPr>
        <w:t>Cannavale</w:t>
      </w:r>
      <w:proofErr w:type="spellEnd"/>
      <w:r w:rsidRPr="00AB25FC">
        <w:rPr>
          <w:lang w:val="en-US"/>
        </w:rPr>
        <w:t xml:space="preserve">, C., &amp; </w:t>
      </w:r>
      <w:proofErr w:type="spellStart"/>
      <w:r w:rsidRPr="00AB25FC">
        <w:rPr>
          <w:lang w:val="en-US"/>
        </w:rPr>
        <w:t>Nadali</w:t>
      </w:r>
      <w:proofErr w:type="spellEnd"/>
      <w:r w:rsidRPr="00AB25FC">
        <w:rPr>
          <w:lang w:val="en-US"/>
        </w:rPr>
        <w:t xml:space="preserve">, I. Z. (2020). How do cultural values influence entrepreneurial behavior of nations? A behavioral reasoning approach. </w:t>
      </w:r>
      <w:r w:rsidRPr="00AB25FC">
        <w:rPr>
          <w:i/>
          <w:lang w:val="en-US"/>
        </w:rPr>
        <w:t>International Business Review, 29</w:t>
      </w:r>
      <w:r w:rsidRPr="00AB25FC">
        <w:rPr>
          <w:lang w:val="en-US"/>
        </w:rPr>
        <w:t>(5), 101725. http://dx.doi.org/10.1016/j.ibusrev.2020.101725</w:t>
      </w:r>
    </w:p>
    <w:p w:rsidR="00D03F78" w:rsidRPr="00AB25FC" w:rsidRDefault="00AB25FC">
      <w:pPr>
        <w:ind w:left="709" w:hanging="720"/>
        <w:rPr>
          <w:lang w:val="en-US"/>
        </w:rPr>
      </w:pPr>
      <w:proofErr w:type="spellStart"/>
      <w:r w:rsidRPr="00AB25FC">
        <w:rPr>
          <w:lang w:val="en-US"/>
        </w:rPr>
        <w:t>Canestrino</w:t>
      </w:r>
      <w:proofErr w:type="spellEnd"/>
      <w:r w:rsidRPr="00AB25FC">
        <w:rPr>
          <w:lang w:val="en-US"/>
        </w:rPr>
        <w:t xml:space="preserve">, R., </w:t>
      </w:r>
      <w:proofErr w:type="spellStart"/>
      <w:r w:rsidRPr="00AB25FC">
        <w:rPr>
          <w:lang w:val="en-US"/>
        </w:rPr>
        <w:t>Ćwiklicki</w:t>
      </w:r>
      <w:proofErr w:type="spellEnd"/>
      <w:r w:rsidRPr="00AB25FC">
        <w:rPr>
          <w:lang w:val="en-US"/>
        </w:rPr>
        <w:t xml:space="preserve">, M., </w:t>
      </w:r>
      <w:proofErr w:type="spellStart"/>
      <w:r w:rsidRPr="00AB25FC">
        <w:rPr>
          <w:lang w:val="en-US"/>
        </w:rPr>
        <w:t>Magliocca</w:t>
      </w:r>
      <w:proofErr w:type="spellEnd"/>
      <w:r w:rsidRPr="00AB25FC">
        <w:rPr>
          <w:lang w:val="en-US"/>
        </w:rPr>
        <w:t xml:space="preserve">, P., &amp; </w:t>
      </w:r>
      <w:proofErr w:type="spellStart"/>
      <w:r w:rsidRPr="00AB25FC">
        <w:rPr>
          <w:lang w:val="en-US"/>
        </w:rPr>
        <w:t>Pawełek</w:t>
      </w:r>
      <w:proofErr w:type="spellEnd"/>
      <w:r w:rsidRPr="00AB25FC">
        <w:rPr>
          <w:lang w:val="en-US"/>
        </w:rPr>
        <w:t xml:space="preserve">, B. (2020). Understanding social entrepreneurship: A cultural perspective in business research. </w:t>
      </w:r>
      <w:r w:rsidRPr="00AB25FC">
        <w:rPr>
          <w:i/>
          <w:lang w:val="en-US"/>
        </w:rPr>
        <w:t>Journal of Business Research, 110</w:t>
      </w:r>
      <w:r w:rsidRPr="00AB25FC">
        <w:rPr>
          <w:lang w:val="en-US"/>
        </w:rPr>
        <w:t>, 132-143. http://dx.doi.org/10.1016/j.jbusres.2020.01.006</w:t>
      </w:r>
    </w:p>
    <w:p w:rsidR="00D03F78" w:rsidRPr="00AB25FC" w:rsidRDefault="00AB25FC">
      <w:pPr>
        <w:ind w:left="709" w:hanging="720"/>
        <w:rPr>
          <w:lang w:val="en-US"/>
        </w:rPr>
      </w:pPr>
      <w:proofErr w:type="spellStart"/>
      <w:r w:rsidRPr="00AB25FC">
        <w:rPr>
          <w:lang w:val="en-US"/>
        </w:rPr>
        <w:t>Charfeddine</w:t>
      </w:r>
      <w:proofErr w:type="spellEnd"/>
      <w:r w:rsidRPr="00AB25FC">
        <w:rPr>
          <w:lang w:val="en-US"/>
        </w:rPr>
        <w:t xml:space="preserve">, L., &amp; </w:t>
      </w:r>
      <w:proofErr w:type="spellStart"/>
      <w:r w:rsidRPr="00AB25FC">
        <w:rPr>
          <w:lang w:val="en-US"/>
        </w:rPr>
        <w:t>Zaouali</w:t>
      </w:r>
      <w:proofErr w:type="spellEnd"/>
      <w:r w:rsidRPr="00AB25FC">
        <w:rPr>
          <w:lang w:val="en-US"/>
        </w:rPr>
        <w:t xml:space="preserve">, S. (2022). The effects of financial inclusion and the business environment in spurring the creation of early-stage firms and supporting established firms. </w:t>
      </w:r>
      <w:r w:rsidRPr="00AB25FC">
        <w:rPr>
          <w:i/>
          <w:lang w:val="en-US"/>
        </w:rPr>
        <w:t>Journal of Business Research, 143</w:t>
      </w:r>
      <w:r w:rsidRPr="00AB25FC">
        <w:rPr>
          <w:lang w:val="en-US"/>
        </w:rPr>
        <w:t>, 1-15. http://dx.doi.org/10.1016/j.jbusres.2022.01.014</w:t>
      </w:r>
    </w:p>
    <w:p w:rsidR="00D03F78" w:rsidRPr="00AB25FC" w:rsidRDefault="00AB25FC">
      <w:pPr>
        <w:ind w:left="709" w:hanging="720"/>
        <w:rPr>
          <w:lang w:val="en-US"/>
        </w:rPr>
      </w:pPr>
      <w:proofErr w:type="spellStart"/>
      <w:r w:rsidRPr="00AB25FC">
        <w:rPr>
          <w:lang w:val="en-US"/>
        </w:rPr>
        <w:t>Chatterji</w:t>
      </w:r>
      <w:proofErr w:type="spellEnd"/>
      <w:r w:rsidRPr="00AB25FC">
        <w:rPr>
          <w:lang w:val="en-US"/>
        </w:rPr>
        <w:t xml:space="preserve">, A., </w:t>
      </w:r>
      <w:proofErr w:type="spellStart"/>
      <w:r w:rsidRPr="00AB25FC">
        <w:rPr>
          <w:lang w:val="en-US"/>
        </w:rPr>
        <w:t>Glaeser</w:t>
      </w:r>
      <w:proofErr w:type="spellEnd"/>
      <w:r w:rsidRPr="00AB25FC">
        <w:rPr>
          <w:lang w:val="en-US"/>
        </w:rPr>
        <w:t xml:space="preserve">, E. and Kerr, W. (2014). Clusters of Entrepreneurship and Innovation. </w:t>
      </w:r>
      <w:r w:rsidRPr="00AB25FC">
        <w:rPr>
          <w:i/>
          <w:lang w:val="en-US"/>
        </w:rPr>
        <w:t>Policy and the Economy, 14</w:t>
      </w:r>
      <w:r w:rsidRPr="00AB25FC">
        <w:rPr>
          <w:lang w:val="en-US"/>
        </w:rPr>
        <w:t>, 129-166.</w:t>
      </w:r>
    </w:p>
    <w:p w:rsidR="00D03F78" w:rsidRPr="00AB25FC" w:rsidRDefault="00AB25FC">
      <w:pPr>
        <w:ind w:left="709" w:hanging="720"/>
        <w:rPr>
          <w:lang w:val="en-US"/>
        </w:rPr>
      </w:pPr>
      <w:proofErr w:type="spellStart"/>
      <w:r w:rsidRPr="00AB25FC">
        <w:rPr>
          <w:lang w:val="en-US"/>
        </w:rPr>
        <w:t>Crecente</w:t>
      </w:r>
      <w:proofErr w:type="spellEnd"/>
      <w:r w:rsidRPr="00AB25FC">
        <w:rPr>
          <w:lang w:val="en-US"/>
        </w:rPr>
        <w:t xml:space="preserve">, F., </w:t>
      </w:r>
      <w:proofErr w:type="spellStart"/>
      <w:r w:rsidRPr="00AB25FC">
        <w:rPr>
          <w:lang w:val="en-US"/>
        </w:rPr>
        <w:t>Sarabia</w:t>
      </w:r>
      <w:proofErr w:type="spellEnd"/>
      <w:r w:rsidRPr="00AB25FC">
        <w:rPr>
          <w:lang w:val="en-US"/>
        </w:rPr>
        <w:t xml:space="preserve">, M., &amp; del Val, M. T. (2021). The value of entrepreneurship by gender on regional </w:t>
      </w:r>
      <w:proofErr w:type="spellStart"/>
      <w:r w:rsidRPr="00AB25FC">
        <w:rPr>
          <w:lang w:val="en-US"/>
        </w:rPr>
        <w:t>behaviour</w:t>
      </w:r>
      <w:proofErr w:type="spellEnd"/>
      <w:r w:rsidRPr="00AB25FC">
        <w:rPr>
          <w:lang w:val="en-US"/>
        </w:rPr>
        <w:t xml:space="preserve">. </w:t>
      </w:r>
      <w:r w:rsidRPr="00AB25FC">
        <w:rPr>
          <w:i/>
          <w:lang w:val="en-US"/>
        </w:rPr>
        <w:t>International Entrepreneurship and Management Journal,</w:t>
      </w:r>
      <w:r w:rsidRPr="00AB25FC">
        <w:rPr>
          <w:lang w:val="en-US"/>
        </w:rPr>
        <w:t xml:space="preserve"> 1-19. http://dx.doi.org/10.1007/s11365-021-00777-z</w:t>
      </w:r>
    </w:p>
    <w:p w:rsidR="00D03F78" w:rsidRPr="00AB25FC" w:rsidRDefault="00AB25FC">
      <w:pPr>
        <w:ind w:left="709" w:hanging="720"/>
        <w:rPr>
          <w:lang w:val="en-US"/>
        </w:rPr>
      </w:pPr>
      <w:proofErr w:type="spellStart"/>
      <w:r w:rsidRPr="00AB25FC">
        <w:rPr>
          <w:lang w:val="en-US"/>
        </w:rPr>
        <w:lastRenderedPageBreak/>
        <w:t>Crecente</w:t>
      </w:r>
      <w:proofErr w:type="spellEnd"/>
      <w:r w:rsidRPr="00AB25FC">
        <w:rPr>
          <w:lang w:val="en-US"/>
        </w:rPr>
        <w:t xml:space="preserve">, F., </w:t>
      </w:r>
      <w:proofErr w:type="spellStart"/>
      <w:r w:rsidRPr="00AB25FC">
        <w:rPr>
          <w:lang w:val="en-US"/>
        </w:rPr>
        <w:t>Sarabia</w:t>
      </w:r>
      <w:proofErr w:type="spellEnd"/>
      <w:r w:rsidRPr="00AB25FC">
        <w:rPr>
          <w:lang w:val="en-US"/>
        </w:rPr>
        <w:t xml:space="preserve">, M., &amp; del Val, M. T. (2021). Climate change policy and entrepreneurial opportunities. </w:t>
      </w:r>
      <w:r w:rsidRPr="00AB25FC">
        <w:rPr>
          <w:i/>
          <w:lang w:val="en-US"/>
        </w:rPr>
        <w:t>Technological Forecasting and Social Change, 163</w:t>
      </w:r>
      <w:r w:rsidRPr="00AB25FC">
        <w:rPr>
          <w:lang w:val="en-US"/>
        </w:rPr>
        <w:t>, 120446. http://dx.doi.org/10.1016/j.techfore.2020.120446</w:t>
      </w:r>
    </w:p>
    <w:p w:rsidR="00D03F78" w:rsidRPr="00AB25FC" w:rsidRDefault="00AB25FC">
      <w:pPr>
        <w:ind w:left="709" w:hanging="720"/>
        <w:rPr>
          <w:lang w:val="en-US"/>
        </w:rPr>
      </w:pPr>
      <w:proofErr w:type="spellStart"/>
      <w:r w:rsidRPr="00AB25FC">
        <w:rPr>
          <w:lang w:val="en-US"/>
        </w:rPr>
        <w:t>Crecente</w:t>
      </w:r>
      <w:proofErr w:type="spellEnd"/>
      <w:r w:rsidRPr="00AB25FC">
        <w:rPr>
          <w:lang w:val="en-US"/>
        </w:rPr>
        <w:t xml:space="preserve">, F., </w:t>
      </w:r>
      <w:proofErr w:type="spellStart"/>
      <w:r w:rsidRPr="00AB25FC">
        <w:rPr>
          <w:lang w:val="en-US"/>
        </w:rPr>
        <w:t>Sarabia</w:t>
      </w:r>
      <w:proofErr w:type="spellEnd"/>
      <w:r w:rsidRPr="00AB25FC">
        <w:rPr>
          <w:lang w:val="en-US"/>
        </w:rPr>
        <w:t xml:space="preserve">, M., &amp; del Val, M. T. (2021). The hidden link between entrepreneurship and military education. </w:t>
      </w:r>
      <w:r w:rsidRPr="00AB25FC">
        <w:rPr>
          <w:i/>
          <w:lang w:val="en-US"/>
        </w:rPr>
        <w:t>Technological Forecasting and Social Change, 163</w:t>
      </w:r>
      <w:r w:rsidRPr="00AB25FC">
        <w:rPr>
          <w:lang w:val="en-US"/>
        </w:rPr>
        <w:t>, 120429. http://dx.doi.org/10.1016/j.techfore.2020.120429</w:t>
      </w:r>
    </w:p>
    <w:p w:rsidR="00D03F78" w:rsidRPr="00AB25FC" w:rsidRDefault="00AB25FC">
      <w:pPr>
        <w:ind w:left="709" w:hanging="720"/>
        <w:rPr>
          <w:lang w:val="en-US"/>
        </w:rPr>
      </w:pPr>
      <w:r>
        <w:t xml:space="preserve">Crecente-Romero, F., Giménez-Baldazo, M., &amp; del Val-Núñez, M. T. (2019). </w:t>
      </w:r>
      <w:r w:rsidRPr="00AB25FC">
        <w:rPr>
          <w:lang w:val="en-US"/>
        </w:rPr>
        <w:t xml:space="preserve">Competitiveness and entrepreneurship rate in Europe during the economic recovery phase, 2012-2016. </w:t>
      </w:r>
      <w:r w:rsidRPr="00AB25FC">
        <w:rPr>
          <w:i/>
          <w:lang w:val="en-US"/>
        </w:rPr>
        <w:t>International Entrepreneurship and Management Journal, 15</w:t>
      </w:r>
      <w:r w:rsidRPr="00AB25FC">
        <w:rPr>
          <w:lang w:val="en-US"/>
        </w:rPr>
        <w:t>, 455-470. http://dx.doi.org/10.1007/s11365-019-00572-x</w:t>
      </w:r>
    </w:p>
    <w:p w:rsidR="00D03F78" w:rsidRPr="00AB25FC" w:rsidRDefault="00AB25FC">
      <w:pPr>
        <w:ind w:left="709" w:hanging="720"/>
        <w:rPr>
          <w:lang w:val="en-US"/>
        </w:rPr>
      </w:pPr>
      <w:proofErr w:type="spellStart"/>
      <w:r w:rsidRPr="00AB25FC">
        <w:rPr>
          <w:lang w:val="en-US"/>
        </w:rPr>
        <w:t>Crecente</w:t>
      </w:r>
      <w:proofErr w:type="spellEnd"/>
      <w:r w:rsidRPr="00AB25FC">
        <w:rPr>
          <w:lang w:val="en-US"/>
        </w:rPr>
        <w:t xml:space="preserve">-Romero, F., </w:t>
      </w:r>
      <w:proofErr w:type="spellStart"/>
      <w:r w:rsidRPr="00AB25FC">
        <w:rPr>
          <w:lang w:val="en-US"/>
        </w:rPr>
        <w:t>Giménez-Baldazo</w:t>
      </w:r>
      <w:proofErr w:type="spellEnd"/>
      <w:r w:rsidRPr="00AB25FC">
        <w:rPr>
          <w:lang w:val="en-US"/>
        </w:rPr>
        <w:t xml:space="preserve">, M., &amp; Rivera-Galicia, L. F. (2018). Can entrepreneurship channel </w:t>
      </w:r>
      <w:proofErr w:type="spellStart"/>
      <w:r w:rsidRPr="00AB25FC">
        <w:rPr>
          <w:lang w:val="en-US"/>
        </w:rPr>
        <w:t>overqualification</w:t>
      </w:r>
      <w:proofErr w:type="spellEnd"/>
      <w:r w:rsidRPr="00AB25FC">
        <w:rPr>
          <w:lang w:val="en-US"/>
        </w:rPr>
        <w:t xml:space="preserve"> in young university graduates in the European Union? </w:t>
      </w:r>
      <w:r w:rsidRPr="00AB25FC">
        <w:rPr>
          <w:i/>
          <w:lang w:val="en-US"/>
        </w:rPr>
        <w:t>Journal of Business Research, 89</w:t>
      </w:r>
      <w:r w:rsidRPr="00AB25FC">
        <w:rPr>
          <w:lang w:val="en-US"/>
        </w:rPr>
        <w:t>, 223-228. http://dx.doi.org/10.1016/j.jbusres.2018.01.056</w:t>
      </w:r>
    </w:p>
    <w:p w:rsidR="00D03F78" w:rsidRPr="00AB25FC" w:rsidRDefault="00AB25FC">
      <w:pPr>
        <w:ind w:left="709" w:hanging="720"/>
        <w:rPr>
          <w:lang w:val="en-US"/>
        </w:rPr>
      </w:pPr>
      <w:r w:rsidRPr="00AB25FC">
        <w:rPr>
          <w:lang w:val="en-US"/>
        </w:rPr>
        <w:t xml:space="preserve">Crittenden, V. L., &amp; </w:t>
      </w:r>
      <w:proofErr w:type="spellStart"/>
      <w:r w:rsidRPr="00AB25FC">
        <w:rPr>
          <w:lang w:val="en-US"/>
        </w:rPr>
        <w:t>Dhebar</w:t>
      </w:r>
      <w:proofErr w:type="spellEnd"/>
      <w:r w:rsidRPr="00AB25FC">
        <w:rPr>
          <w:lang w:val="en-US"/>
        </w:rPr>
        <w:t xml:space="preserve">, A. (2019). A Tribute to Abdul Ali (1957–2018). </w:t>
      </w:r>
      <w:r w:rsidRPr="00AB25FC">
        <w:rPr>
          <w:i/>
          <w:lang w:val="en-US"/>
        </w:rPr>
        <w:t xml:space="preserve">Journal of </w:t>
      </w:r>
      <w:proofErr w:type="spellStart"/>
      <w:r w:rsidRPr="00AB25FC">
        <w:rPr>
          <w:i/>
          <w:lang w:val="en-US"/>
        </w:rPr>
        <w:t>Macromarketing</w:t>
      </w:r>
      <w:proofErr w:type="spellEnd"/>
      <w:r w:rsidRPr="00AB25FC">
        <w:rPr>
          <w:i/>
          <w:lang w:val="en-US"/>
        </w:rPr>
        <w:t>, 39</w:t>
      </w:r>
      <w:r w:rsidRPr="00AB25FC">
        <w:rPr>
          <w:lang w:val="en-US"/>
        </w:rPr>
        <w:t>(4), 463-466. http://dx.doi.org/10.1177/0276146719878251</w:t>
      </w:r>
    </w:p>
    <w:p w:rsidR="00D03F78" w:rsidRPr="00AB25FC" w:rsidRDefault="00AB25FC">
      <w:pPr>
        <w:ind w:left="709" w:hanging="720"/>
        <w:rPr>
          <w:lang w:val="en-US"/>
        </w:rPr>
      </w:pPr>
      <w:proofErr w:type="spellStart"/>
      <w:r w:rsidRPr="00AB25FC">
        <w:rPr>
          <w:lang w:val="en-US"/>
        </w:rPr>
        <w:t>Darnihamedani</w:t>
      </w:r>
      <w:proofErr w:type="spellEnd"/>
      <w:r w:rsidRPr="00AB25FC">
        <w:rPr>
          <w:lang w:val="en-US"/>
        </w:rPr>
        <w:t xml:space="preserve">, P., Block, J. H., Hessels, J., &amp; </w:t>
      </w:r>
      <w:proofErr w:type="spellStart"/>
      <w:r w:rsidRPr="00AB25FC">
        <w:rPr>
          <w:lang w:val="en-US"/>
        </w:rPr>
        <w:t>Simonyan</w:t>
      </w:r>
      <w:proofErr w:type="spellEnd"/>
      <w:r w:rsidRPr="00AB25FC">
        <w:rPr>
          <w:lang w:val="en-US"/>
        </w:rPr>
        <w:t xml:space="preserve">, A. (2018). Taxes, start-up costs, and innovative entrepreneurship. </w:t>
      </w:r>
      <w:r w:rsidRPr="00AB25FC">
        <w:rPr>
          <w:i/>
          <w:lang w:val="en-US"/>
        </w:rPr>
        <w:t>Small Business Economics, 51</w:t>
      </w:r>
      <w:r w:rsidRPr="00AB25FC">
        <w:rPr>
          <w:lang w:val="en-US"/>
        </w:rPr>
        <w:t>, 355-369. http://dx.doi.org/10.1007/s11187-018-0005-9</w:t>
      </w:r>
    </w:p>
    <w:p w:rsidR="00D03F78" w:rsidRPr="00AB25FC" w:rsidRDefault="00AB25FC">
      <w:pPr>
        <w:ind w:left="709" w:hanging="720"/>
        <w:rPr>
          <w:lang w:val="en-US"/>
        </w:rPr>
      </w:pPr>
      <w:proofErr w:type="spellStart"/>
      <w:r w:rsidRPr="00AB25FC">
        <w:rPr>
          <w:lang w:val="en-US"/>
        </w:rPr>
        <w:t>Eid</w:t>
      </w:r>
      <w:proofErr w:type="spellEnd"/>
      <w:r w:rsidRPr="00AB25FC">
        <w:rPr>
          <w:lang w:val="en-US"/>
        </w:rPr>
        <w:t xml:space="preserve">, R., &amp; </w:t>
      </w:r>
      <w:proofErr w:type="spellStart"/>
      <w:r w:rsidRPr="00AB25FC">
        <w:rPr>
          <w:lang w:val="en-US"/>
        </w:rPr>
        <w:t>Agag</w:t>
      </w:r>
      <w:proofErr w:type="spellEnd"/>
      <w:r w:rsidRPr="00AB25FC">
        <w:rPr>
          <w:lang w:val="en-US"/>
        </w:rPr>
        <w:t xml:space="preserve">, G. (2020). Determinants of innovative </w:t>
      </w:r>
      <w:proofErr w:type="spellStart"/>
      <w:r w:rsidRPr="00AB25FC">
        <w:rPr>
          <w:lang w:val="en-US"/>
        </w:rPr>
        <w:t>behaviour</w:t>
      </w:r>
      <w:proofErr w:type="spellEnd"/>
      <w:r w:rsidRPr="00AB25FC">
        <w:rPr>
          <w:lang w:val="en-US"/>
        </w:rPr>
        <w:t xml:space="preserve"> in the hotel industry: a cross-cultural study. </w:t>
      </w:r>
      <w:r w:rsidRPr="00AB25FC">
        <w:rPr>
          <w:i/>
          <w:lang w:val="en-US"/>
        </w:rPr>
        <w:t>International Journal of Hospitality Management, 91</w:t>
      </w:r>
      <w:r w:rsidRPr="00AB25FC">
        <w:rPr>
          <w:lang w:val="en-US"/>
        </w:rPr>
        <w:t>, 102642. http://dx.doi.org/10.1016/j.ijhm.2020.102642</w:t>
      </w:r>
    </w:p>
    <w:p w:rsidR="00D03F78" w:rsidRPr="00AB25FC" w:rsidRDefault="00AB25FC">
      <w:pPr>
        <w:ind w:left="709" w:hanging="720"/>
        <w:rPr>
          <w:lang w:val="en-US"/>
        </w:rPr>
      </w:pPr>
      <w:r>
        <w:t xml:space="preserve">Espinoza-Benavides, J., Guerrero, M., &amp; Díaz, D. (2021). </w:t>
      </w:r>
      <w:r w:rsidRPr="00AB25FC">
        <w:rPr>
          <w:lang w:val="en-US"/>
        </w:rPr>
        <w:t xml:space="preserve">Dissecting the ecosystems’ determinants of entrepreneurial re-entry after a business failure. </w:t>
      </w:r>
      <w:r w:rsidRPr="00AB25FC">
        <w:rPr>
          <w:i/>
          <w:lang w:val="en-US"/>
        </w:rPr>
        <w:t>European Business Review, 33</w:t>
      </w:r>
      <w:r w:rsidRPr="00AB25FC">
        <w:rPr>
          <w:lang w:val="en-US"/>
        </w:rPr>
        <w:t>(6), 975-998. http://dx.doi.org/10.1108/EBR-09-2020-0222</w:t>
      </w:r>
    </w:p>
    <w:p w:rsidR="00D03F78" w:rsidRPr="00AB25FC" w:rsidRDefault="00AB25FC">
      <w:pPr>
        <w:ind w:left="709" w:hanging="720"/>
        <w:rPr>
          <w:lang w:val="en-US"/>
        </w:rPr>
      </w:pPr>
      <w:proofErr w:type="spellStart"/>
      <w:r w:rsidRPr="00AB25FC">
        <w:rPr>
          <w:lang w:val="en-US"/>
        </w:rPr>
        <w:t>Farinha</w:t>
      </w:r>
      <w:proofErr w:type="spellEnd"/>
      <w:r w:rsidRPr="00AB25FC">
        <w:rPr>
          <w:lang w:val="en-US"/>
        </w:rPr>
        <w:t xml:space="preserve">, L., Lopes, J., </w:t>
      </w:r>
      <w:proofErr w:type="spellStart"/>
      <w:r w:rsidRPr="00AB25FC">
        <w:rPr>
          <w:lang w:val="en-US"/>
        </w:rPr>
        <w:t>Bagchi</w:t>
      </w:r>
      <w:proofErr w:type="spellEnd"/>
      <w:r w:rsidRPr="00AB25FC">
        <w:rPr>
          <w:lang w:val="en-US"/>
        </w:rPr>
        <w:t xml:space="preserve">-Sen, S., </w:t>
      </w:r>
      <w:proofErr w:type="spellStart"/>
      <w:r w:rsidRPr="00AB25FC">
        <w:rPr>
          <w:lang w:val="en-US"/>
        </w:rPr>
        <w:t>Sebastião</w:t>
      </w:r>
      <w:proofErr w:type="spellEnd"/>
      <w:r w:rsidRPr="00AB25FC">
        <w:rPr>
          <w:lang w:val="en-US"/>
        </w:rPr>
        <w:t xml:space="preserve">, J. R., &amp; Oliveira, J. (2020). Entrepreneurial dynamics and government policies to boost entrepreneurship performance. </w:t>
      </w:r>
      <w:r w:rsidRPr="00AB25FC">
        <w:rPr>
          <w:i/>
          <w:lang w:val="en-US"/>
        </w:rPr>
        <w:t>Socio-Economic Planning Sciences, 72,</w:t>
      </w:r>
      <w:r w:rsidRPr="00AB25FC">
        <w:rPr>
          <w:lang w:val="en-US"/>
        </w:rPr>
        <w:t xml:space="preserve"> 100950. http://dx.doi.org/10.1016/j.seps.2020.100950</w:t>
      </w:r>
    </w:p>
    <w:p w:rsidR="00D03F78" w:rsidRPr="00AB25FC" w:rsidRDefault="00AB25FC">
      <w:pPr>
        <w:ind w:left="709" w:hanging="720"/>
        <w:rPr>
          <w:lang w:val="pt-BR"/>
        </w:rPr>
      </w:pPr>
      <w:r w:rsidRPr="00AB25FC">
        <w:rPr>
          <w:lang w:val="en-US"/>
        </w:rPr>
        <w:t xml:space="preserve">Fernandez, V. (2021). Are extractive ventures more socio-environmentally committed? </w:t>
      </w:r>
      <w:proofErr w:type="spellStart"/>
      <w:r w:rsidRPr="00AB25FC">
        <w:rPr>
          <w:i/>
          <w:lang w:val="pt-BR"/>
        </w:rPr>
        <w:t>Resources</w:t>
      </w:r>
      <w:proofErr w:type="spellEnd"/>
      <w:r w:rsidRPr="00AB25FC">
        <w:rPr>
          <w:i/>
          <w:lang w:val="pt-BR"/>
        </w:rPr>
        <w:t xml:space="preserve"> </w:t>
      </w:r>
      <w:proofErr w:type="spellStart"/>
      <w:r w:rsidRPr="00AB25FC">
        <w:rPr>
          <w:i/>
          <w:lang w:val="pt-BR"/>
        </w:rPr>
        <w:t>Policy</w:t>
      </w:r>
      <w:proofErr w:type="spellEnd"/>
      <w:r w:rsidRPr="00AB25FC">
        <w:rPr>
          <w:i/>
          <w:lang w:val="pt-BR"/>
        </w:rPr>
        <w:t>, 74</w:t>
      </w:r>
      <w:r w:rsidRPr="00AB25FC">
        <w:rPr>
          <w:lang w:val="pt-BR"/>
        </w:rPr>
        <w:t>, 102288. http://dx.doi.org/10.1016/j.resourpol.2021.102288</w:t>
      </w:r>
    </w:p>
    <w:p w:rsidR="00D03F78" w:rsidRPr="00AB25FC" w:rsidRDefault="00AB25FC">
      <w:pPr>
        <w:ind w:left="709" w:hanging="720"/>
        <w:rPr>
          <w:lang w:val="en-US"/>
        </w:rPr>
      </w:pPr>
      <w:r w:rsidRPr="00AB25FC">
        <w:rPr>
          <w:lang w:val="pt-BR"/>
        </w:rPr>
        <w:lastRenderedPageBreak/>
        <w:t xml:space="preserve">Ferreira, J. J., Fernandes, C. I., Veiga, P. M., &amp; Caputo, A. (2022). </w:t>
      </w:r>
      <w:r w:rsidRPr="00AB25FC">
        <w:rPr>
          <w:lang w:val="en-US"/>
        </w:rPr>
        <w:t xml:space="preserve">The interactions of entrepreneurial attitudes, abilities and aspirations in the (twin) environmental and digital transitions? A dynamic panel data approach. </w:t>
      </w:r>
      <w:r w:rsidRPr="00AB25FC">
        <w:rPr>
          <w:i/>
          <w:lang w:val="en-US"/>
        </w:rPr>
        <w:t>Technology in Society, 71,</w:t>
      </w:r>
      <w:r w:rsidRPr="00AB25FC">
        <w:rPr>
          <w:lang w:val="en-US"/>
        </w:rPr>
        <w:t xml:space="preserve"> 102121. http://dx.doi.org/10.1016/j.techsoc.2022.102121</w:t>
      </w:r>
    </w:p>
    <w:p w:rsidR="00D03F78" w:rsidRPr="00AB25FC" w:rsidRDefault="00AB25FC">
      <w:pPr>
        <w:ind w:left="709" w:hanging="720"/>
        <w:rPr>
          <w:lang w:val="en-US"/>
        </w:rPr>
      </w:pPr>
      <w:r w:rsidRPr="00AB25FC">
        <w:rPr>
          <w:lang w:val="en-US"/>
        </w:rPr>
        <w:t>Galindo-Martín, M. A., Méndez-</w:t>
      </w:r>
      <w:proofErr w:type="spellStart"/>
      <w:r w:rsidRPr="00AB25FC">
        <w:rPr>
          <w:lang w:val="en-US"/>
        </w:rPr>
        <w:t>Picazo</w:t>
      </w:r>
      <w:proofErr w:type="spellEnd"/>
      <w:r w:rsidRPr="00AB25FC">
        <w:rPr>
          <w:lang w:val="en-US"/>
        </w:rPr>
        <w:t xml:space="preserve">, M. T., &amp; </w:t>
      </w:r>
      <w:proofErr w:type="spellStart"/>
      <w:r w:rsidRPr="00AB25FC">
        <w:rPr>
          <w:lang w:val="en-US"/>
        </w:rPr>
        <w:t>Castaño-Martínez</w:t>
      </w:r>
      <w:proofErr w:type="spellEnd"/>
      <w:r w:rsidRPr="00AB25FC">
        <w:rPr>
          <w:lang w:val="en-US"/>
        </w:rPr>
        <w:t xml:space="preserve">, M. S. (2019). The role of innovation and institutions in entrepreneurship and economic growth in two groups of countries. </w:t>
      </w:r>
      <w:r w:rsidRPr="00AB25FC">
        <w:rPr>
          <w:i/>
          <w:lang w:val="en-US"/>
        </w:rPr>
        <w:t>International Journal of Entrepreneurial Behavior &amp; Research, 26</w:t>
      </w:r>
      <w:r w:rsidRPr="00AB25FC">
        <w:rPr>
          <w:lang w:val="en-US"/>
        </w:rPr>
        <w:t>(3), 485-502. http://dx.doi.org/10.1108/IJEBR-06-2019-0336</w:t>
      </w:r>
    </w:p>
    <w:p w:rsidR="00D03F78" w:rsidRPr="00AB25FC" w:rsidRDefault="00AB25FC">
      <w:pPr>
        <w:ind w:left="709" w:hanging="720"/>
        <w:rPr>
          <w:lang w:val="en-US"/>
        </w:rPr>
      </w:pPr>
      <w:r w:rsidRPr="00AB25FC">
        <w:rPr>
          <w:lang w:val="en-US"/>
        </w:rPr>
        <w:t xml:space="preserve">Guerrero, M., </w:t>
      </w:r>
      <w:proofErr w:type="spellStart"/>
      <w:r w:rsidRPr="00AB25FC">
        <w:rPr>
          <w:lang w:val="en-US"/>
        </w:rPr>
        <w:t>Amorós</w:t>
      </w:r>
      <w:proofErr w:type="spellEnd"/>
      <w:r w:rsidRPr="00AB25FC">
        <w:rPr>
          <w:lang w:val="en-US"/>
        </w:rPr>
        <w:t xml:space="preserve">, J. E., &amp; </w:t>
      </w:r>
      <w:proofErr w:type="spellStart"/>
      <w:r w:rsidRPr="00AB25FC">
        <w:rPr>
          <w:lang w:val="en-US"/>
        </w:rPr>
        <w:t>Urbano</w:t>
      </w:r>
      <w:proofErr w:type="spellEnd"/>
      <w:r w:rsidRPr="00AB25FC">
        <w:rPr>
          <w:lang w:val="en-US"/>
        </w:rPr>
        <w:t xml:space="preserve">, D. (2021). Do employees’ generational cohorts influence corporate venturing? A multilevel analysis. </w:t>
      </w:r>
      <w:r w:rsidRPr="00AB25FC">
        <w:rPr>
          <w:i/>
          <w:lang w:val="en-US"/>
        </w:rPr>
        <w:t>Small business economics, 57</w:t>
      </w:r>
      <w:r w:rsidRPr="00AB25FC">
        <w:rPr>
          <w:lang w:val="en-US"/>
        </w:rPr>
        <w:t>(1), 47-74. http://dx.doi.org/10.1007/s11187-019-00304-z</w:t>
      </w:r>
    </w:p>
    <w:p w:rsidR="00D03F78" w:rsidRPr="00AB25FC" w:rsidRDefault="00AB25FC">
      <w:pPr>
        <w:ind w:left="709" w:hanging="720"/>
        <w:rPr>
          <w:lang w:val="en-US"/>
        </w:rPr>
      </w:pPr>
      <w:r w:rsidRPr="00AB25FC">
        <w:rPr>
          <w:lang w:val="en-US"/>
        </w:rPr>
        <w:t xml:space="preserve">He, J., </w:t>
      </w:r>
      <w:proofErr w:type="spellStart"/>
      <w:r w:rsidRPr="00AB25FC">
        <w:rPr>
          <w:lang w:val="en-US"/>
        </w:rPr>
        <w:t>Nazari</w:t>
      </w:r>
      <w:proofErr w:type="spellEnd"/>
      <w:r w:rsidRPr="00AB25FC">
        <w:rPr>
          <w:lang w:val="en-US"/>
        </w:rPr>
        <w:t xml:space="preserve">, M., Zhang, Y., &amp; </w:t>
      </w:r>
      <w:proofErr w:type="spellStart"/>
      <w:r w:rsidRPr="00AB25FC">
        <w:rPr>
          <w:lang w:val="en-US"/>
        </w:rPr>
        <w:t>Cai</w:t>
      </w:r>
      <w:proofErr w:type="spellEnd"/>
      <w:r w:rsidRPr="00AB25FC">
        <w:rPr>
          <w:lang w:val="en-US"/>
        </w:rPr>
        <w:t xml:space="preserve">, N. (2020). Opportunity-based entrepreneurship and environmental quality of sustainable development: A resource and institutional perspective. </w:t>
      </w:r>
      <w:r w:rsidRPr="00AB25FC">
        <w:rPr>
          <w:i/>
          <w:lang w:val="en-US"/>
        </w:rPr>
        <w:t>Journal of Cleaner Production, 256,</w:t>
      </w:r>
      <w:r w:rsidRPr="00AB25FC">
        <w:rPr>
          <w:lang w:val="en-US"/>
        </w:rPr>
        <w:t xml:space="preserve"> 120390. http://dx.doi.org/10.1016/j.jclepro.2020.120390</w:t>
      </w:r>
    </w:p>
    <w:p w:rsidR="00D03F78" w:rsidRPr="00AB25FC" w:rsidRDefault="00AB25FC">
      <w:pPr>
        <w:ind w:left="709" w:hanging="720"/>
        <w:rPr>
          <w:lang w:val="en-US"/>
        </w:rPr>
      </w:pPr>
      <w:proofErr w:type="spellStart"/>
      <w:r w:rsidRPr="00AB25FC">
        <w:rPr>
          <w:lang w:val="en-US"/>
        </w:rPr>
        <w:t>Hechavarr</w:t>
      </w:r>
      <w:r w:rsidR="00A83D73">
        <w:rPr>
          <w:lang w:val="en-US"/>
        </w:rPr>
        <w:t>ía</w:t>
      </w:r>
      <w:proofErr w:type="spellEnd"/>
      <w:r w:rsidR="00A83D73">
        <w:rPr>
          <w:lang w:val="en-US"/>
        </w:rPr>
        <w:t>, D. M., &amp; Ingram, A. E. (2018</w:t>
      </w:r>
      <w:r w:rsidRPr="00AB25FC">
        <w:rPr>
          <w:lang w:val="en-US"/>
        </w:rPr>
        <w:t>). Entrepreneurial ecosystem conditions and gendered national-level entrepreneurial activity: A 14-year panel study of GEM</w:t>
      </w:r>
      <w:r w:rsidRPr="00AB25FC">
        <w:rPr>
          <w:i/>
          <w:lang w:val="en-US"/>
        </w:rPr>
        <w:t>. Small Business Economics, 53</w:t>
      </w:r>
      <w:r w:rsidRPr="00AB25FC">
        <w:rPr>
          <w:lang w:val="en-US"/>
        </w:rPr>
        <w:t>, 431-458. http://dx.doi.org/10.1007/s11187-018-9994-7</w:t>
      </w:r>
    </w:p>
    <w:p w:rsidR="00D03F78" w:rsidRPr="00AB25FC" w:rsidRDefault="00AB25FC">
      <w:pPr>
        <w:ind w:left="709" w:hanging="720"/>
        <w:rPr>
          <w:lang w:val="en-US"/>
        </w:rPr>
      </w:pPr>
      <w:proofErr w:type="spellStart"/>
      <w:r w:rsidRPr="00AB25FC">
        <w:rPr>
          <w:lang w:val="en-US"/>
        </w:rPr>
        <w:t>Hechavarría</w:t>
      </w:r>
      <w:proofErr w:type="spellEnd"/>
      <w:r w:rsidRPr="00AB25FC">
        <w:rPr>
          <w:lang w:val="en-US"/>
        </w:rPr>
        <w:t xml:space="preserve">, D. M., &amp; </w:t>
      </w:r>
      <w:proofErr w:type="spellStart"/>
      <w:r w:rsidRPr="00AB25FC">
        <w:rPr>
          <w:lang w:val="en-US"/>
        </w:rPr>
        <w:t>Brieger</w:t>
      </w:r>
      <w:proofErr w:type="spellEnd"/>
      <w:r w:rsidRPr="00AB25FC">
        <w:rPr>
          <w:lang w:val="en-US"/>
        </w:rPr>
        <w:t xml:space="preserve">, S. A. (2022). Practice rather than preach: cultural practices and female social entrepreneurship. </w:t>
      </w:r>
      <w:r w:rsidRPr="00AB25FC">
        <w:rPr>
          <w:i/>
          <w:lang w:val="en-US"/>
        </w:rPr>
        <w:t>Small Business Economics,</w:t>
      </w:r>
      <w:r w:rsidRPr="00AB25FC">
        <w:rPr>
          <w:lang w:val="en-US"/>
        </w:rPr>
        <w:t xml:space="preserve"> 1-21. http://dx.doi.org/10.1007/s11187-020-00437-6</w:t>
      </w:r>
    </w:p>
    <w:p w:rsidR="00D03F78" w:rsidRPr="00AB25FC" w:rsidRDefault="00AB25FC">
      <w:pPr>
        <w:ind w:left="709" w:hanging="720"/>
        <w:rPr>
          <w:lang w:val="en-US"/>
        </w:rPr>
      </w:pPr>
      <w:proofErr w:type="spellStart"/>
      <w:r w:rsidRPr="00AB25FC">
        <w:rPr>
          <w:lang w:val="en-US"/>
        </w:rPr>
        <w:t>Huarng</w:t>
      </w:r>
      <w:proofErr w:type="spellEnd"/>
      <w:r w:rsidRPr="00AB25FC">
        <w:rPr>
          <w:lang w:val="en-US"/>
        </w:rPr>
        <w:t xml:space="preserve">, K. H., &amp; Yu, T. H. K. (2022). Causal complexity analysis for </w:t>
      </w:r>
      <w:proofErr w:type="spellStart"/>
      <w:r w:rsidRPr="00AB25FC">
        <w:rPr>
          <w:lang w:val="en-US"/>
        </w:rPr>
        <w:t>fintech</w:t>
      </w:r>
      <w:proofErr w:type="spellEnd"/>
      <w:r w:rsidRPr="00AB25FC">
        <w:rPr>
          <w:lang w:val="en-US"/>
        </w:rPr>
        <w:t xml:space="preserve"> adoption at the country level. </w:t>
      </w:r>
      <w:r w:rsidRPr="00AB25FC">
        <w:rPr>
          <w:i/>
          <w:lang w:val="en-US"/>
        </w:rPr>
        <w:t>Journal of Business Research, 153</w:t>
      </w:r>
      <w:r w:rsidRPr="00AB25FC">
        <w:rPr>
          <w:lang w:val="en-US"/>
        </w:rPr>
        <w:t>, 228-234. http://dx.doi.org/10.1016/j.jbusres.2022.08.030</w:t>
      </w:r>
    </w:p>
    <w:p w:rsidR="00D03F78" w:rsidRPr="00AB25FC" w:rsidRDefault="00AB25FC">
      <w:pPr>
        <w:ind w:left="709" w:hanging="720"/>
        <w:rPr>
          <w:lang w:val="en-US"/>
        </w:rPr>
      </w:pPr>
      <w:r w:rsidRPr="00AB25FC">
        <w:rPr>
          <w:lang w:val="en-US"/>
        </w:rPr>
        <w:t xml:space="preserve">Jiang, X., &amp; Fu, L. (2021). Effect entrepreneurship on innovation behavior and institutional environment: based on a comparative analysis. </w:t>
      </w:r>
      <w:r w:rsidRPr="00AB25FC">
        <w:rPr>
          <w:i/>
          <w:lang w:val="en-US"/>
        </w:rPr>
        <w:t>Food Science and Technology, 28</w:t>
      </w:r>
      <w:r w:rsidRPr="00AB25FC">
        <w:rPr>
          <w:lang w:val="en-US"/>
        </w:rPr>
        <w:t>(2), 179-190. http://dx.doi.org/10.1080/1359432X.2018.1564280</w:t>
      </w:r>
    </w:p>
    <w:p w:rsidR="00D03F78" w:rsidRPr="00AB25FC" w:rsidRDefault="00AB25FC">
      <w:pPr>
        <w:ind w:left="709" w:hanging="720"/>
        <w:rPr>
          <w:lang w:val="en-US"/>
        </w:rPr>
      </w:pPr>
      <w:proofErr w:type="spellStart"/>
      <w:r w:rsidRPr="00AB25FC">
        <w:rPr>
          <w:lang w:val="en-US"/>
        </w:rPr>
        <w:t>Junaid</w:t>
      </w:r>
      <w:proofErr w:type="spellEnd"/>
      <w:r w:rsidRPr="00AB25FC">
        <w:rPr>
          <w:lang w:val="en-US"/>
        </w:rPr>
        <w:t>, D., He, Z., Ya</w:t>
      </w:r>
      <w:r w:rsidR="00A83D73">
        <w:rPr>
          <w:lang w:val="en-US"/>
        </w:rPr>
        <w:t xml:space="preserve">dav, A., &amp; </w:t>
      </w:r>
      <w:proofErr w:type="spellStart"/>
      <w:r w:rsidR="00A83D73">
        <w:rPr>
          <w:lang w:val="en-US"/>
        </w:rPr>
        <w:t>Asare-Kyire</w:t>
      </w:r>
      <w:proofErr w:type="spellEnd"/>
      <w:r w:rsidR="00A83D73">
        <w:rPr>
          <w:lang w:val="en-US"/>
        </w:rPr>
        <w:t>, L. (2019</w:t>
      </w:r>
      <w:r w:rsidRPr="00AB25FC">
        <w:rPr>
          <w:lang w:val="en-US"/>
        </w:rPr>
        <w:t xml:space="preserve">). Whether analogue countries exhibit similar women entrepreneurial activities? </w:t>
      </w:r>
      <w:r w:rsidRPr="00AB25FC">
        <w:rPr>
          <w:i/>
          <w:lang w:val="en-US"/>
        </w:rPr>
        <w:t>Management Decision, 58</w:t>
      </w:r>
      <w:r w:rsidRPr="00AB25FC">
        <w:rPr>
          <w:lang w:val="en-US"/>
        </w:rPr>
        <w:t>(4), 759-772. http://dx.doi.org/10.1108/MD-06-2018-0681</w:t>
      </w:r>
    </w:p>
    <w:p w:rsidR="00D03F78" w:rsidRPr="00AB25FC" w:rsidRDefault="00AB25FC">
      <w:pPr>
        <w:ind w:left="709" w:hanging="720"/>
        <w:rPr>
          <w:lang w:val="en-US"/>
        </w:rPr>
      </w:pPr>
      <w:proofErr w:type="spellStart"/>
      <w:r w:rsidRPr="00AB25FC">
        <w:rPr>
          <w:lang w:val="en-US"/>
        </w:rPr>
        <w:lastRenderedPageBreak/>
        <w:t>Kellermanns</w:t>
      </w:r>
      <w:proofErr w:type="spellEnd"/>
      <w:r w:rsidRPr="00AB25FC">
        <w:rPr>
          <w:lang w:val="en-US"/>
        </w:rPr>
        <w:t xml:space="preserve">, F. W., &amp; </w:t>
      </w:r>
      <w:proofErr w:type="spellStart"/>
      <w:r w:rsidRPr="00AB25FC">
        <w:rPr>
          <w:lang w:val="en-US"/>
        </w:rPr>
        <w:t>Eddleston</w:t>
      </w:r>
      <w:proofErr w:type="spellEnd"/>
      <w:r w:rsidRPr="00AB25FC">
        <w:rPr>
          <w:lang w:val="en-US"/>
        </w:rPr>
        <w:t xml:space="preserve">, K. A. (2006). Corporate Entrepreneurship in Family Firms: A Family Perspective. </w:t>
      </w:r>
      <w:r w:rsidRPr="00AB25FC">
        <w:rPr>
          <w:i/>
          <w:lang w:val="en-US"/>
        </w:rPr>
        <w:t>Entrepreneurship Theory and Practice, 30</w:t>
      </w:r>
      <w:r w:rsidRPr="00AB25FC">
        <w:rPr>
          <w:lang w:val="en-US"/>
        </w:rPr>
        <w:t>(6), 809-830. https://doi.org/10.1111/j.1540-6520.2006.00153.x</w:t>
      </w:r>
    </w:p>
    <w:p w:rsidR="00D03F78" w:rsidRPr="00AB25FC" w:rsidRDefault="00AB25FC">
      <w:pPr>
        <w:ind w:left="709" w:hanging="720"/>
        <w:rPr>
          <w:lang w:val="en-US"/>
        </w:rPr>
      </w:pPr>
      <w:proofErr w:type="spellStart"/>
      <w:r w:rsidRPr="00AB25FC">
        <w:rPr>
          <w:lang w:val="en-US"/>
        </w:rPr>
        <w:t>Kimmitt</w:t>
      </w:r>
      <w:proofErr w:type="spellEnd"/>
      <w:r w:rsidRPr="00AB25FC">
        <w:rPr>
          <w:lang w:val="en-US"/>
        </w:rPr>
        <w:t xml:space="preserve">, J., </w:t>
      </w:r>
      <w:proofErr w:type="spellStart"/>
      <w:r w:rsidRPr="00AB25FC">
        <w:rPr>
          <w:lang w:val="en-US"/>
        </w:rPr>
        <w:t>Mandakovic</w:t>
      </w:r>
      <w:proofErr w:type="spellEnd"/>
      <w:r w:rsidRPr="00AB25FC">
        <w:rPr>
          <w:lang w:val="en-US"/>
        </w:rPr>
        <w:t xml:space="preserve">, V., &amp; Muñoz, P. (2022). Social problem scale, public investment and social entrepreneurship action. </w:t>
      </w:r>
      <w:r w:rsidRPr="00AB25FC">
        <w:rPr>
          <w:i/>
          <w:lang w:val="en-US"/>
        </w:rPr>
        <w:t>International Journal of Entrepreneurial Behavior &amp; Research, 28</w:t>
      </w:r>
      <w:r w:rsidRPr="00AB25FC">
        <w:rPr>
          <w:lang w:val="en-US"/>
        </w:rPr>
        <w:t>(6), 1391-1413. http://dx.doi.org/10.1108/IJEBR-07-2021-0556</w:t>
      </w:r>
    </w:p>
    <w:p w:rsidR="00D03F78" w:rsidRPr="00AB25FC" w:rsidRDefault="00AB25FC">
      <w:pPr>
        <w:ind w:left="709" w:hanging="720"/>
        <w:rPr>
          <w:lang w:val="en-US"/>
        </w:rPr>
      </w:pPr>
      <w:r w:rsidRPr="00AB25FC">
        <w:rPr>
          <w:lang w:val="en-US"/>
        </w:rPr>
        <w:t xml:space="preserve">Lawson, L., &amp; Chowdhury, A. R. (2022). Women in Thailand’s gem and </w:t>
      </w:r>
      <w:proofErr w:type="spellStart"/>
      <w:r w:rsidRPr="00AB25FC">
        <w:rPr>
          <w:lang w:val="en-US"/>
        </w:rPr>
        <w:t>jewellery</w:t>
      </w:r>
      <w:proofErr w:type="spellEnd"/>
      <w:r w:rsidRPr="00AB25FC">
        <w:rPr>
          <w:lang w:val="en-US"/>
        </w:rPr>
        <w:t xml:space="preserve"> industry and the Sustainable Development Goals (SDGs): Empowerment or continued inequity? </w:t>
      </w:r>
      <w:r w:rsidRPr="00AB25FC">
        <w:rPr>
          <w:i/>
          <w:lang w:val="en-US"/>
        </w:rPr>
        <w:t>Environmental Science &amp; Policy, 136,</w:t>
      </w:r>
      <w:r w:rsidRPr="00AB25FC">
        <w:rPr>
          <w:lang w:val="en-US"/>
        </w:rPr>
        <w:t xml:space="preserve"> 675-684. http://dx.doi.org/10.1016/j.envsci.2022.07.018</w:t>
      </w:r>
    </w:p>
    <w:p w:rsidR="00D03F78" w:rsidRPr="00AB25FC" w:rsidRDefault="00AB25FC">
      <w:pPr>
        <w:ind w:left="709" w:hanging="720"/>
        <w:rPr>
          <w:lang w:val="en-US"/>
        </w:rPr>
      </w:pPr>
      <w:proofErr w:type="spellStart"/>
      <w:r w:rsidRPr="00AB25FC">
        <w:rPr>
          <w:lang w:val="en-US"/>
        </w:rPr>
        <w:t>Leporati</w:t>
      </w:r>
      <w:proofErr w:type="spellEnd"/>
      <w:r w:rsidRPr="00AB25FC">
        <w:rPr>
          <w:lang w:val="en-US"/>
        </w:rPr>
        <w:t xml:space="preserve">, M., Torres Marin, A. J., &amp; Roses, S. (2021). Senior entrepreneurship in Chile: necessity or opportunity? A GEM perspective. </w:t>
      </w:r>
      <w:r w:rsidRPr="00AB25FC">
        <w:rPr>
          <w:i/>
          <w:lang w:val="en-US"/>
        </w:rPr>
        <w:t>European Business Review, 33</w:t>
      </w:r>
      <w:r w:rsidRPr="00AB25FC">
        <w:rPr>
          <w:lang w:val="en-US"/>
        </w:rPr>
        <w:t>(6), 892-917. http://dx.doi.org/10.1108/EBR-11-2020-0277</w:t>
      </w:r>
    </w:p>
    <w:p w:rsidR="00D03F78" w:rsidRPr="00AB25FC" w:rsidRDefault="00A83D73">
      <w:pPr>
        <w:ind w:left="709" w:hanging="720"/>
        <w:rPr>
          <w:lang w:val="en-US"/>
        </w:rPr>
      </w:pPr>
      <w:r>
        <w:rPr>
          <w:lang w:val="en-US"/>
        </w:rPr>
        <w:t>Li, T. (2020</w:t>
      </w:r>
      <w:r w:rsidR="00AB25FC" w:rsidRPr="00AB25FC">
        <w:rPr>
          <w:lang w:val="en-US"/>
        </w:rPr>
        <w:t xml:space="preserve">). Institutional environments and entrepreneurial start-ups: an international study. </w:t>
      </w:r>
      <w:r w:rsidR="00AB25FC" w:rsidRPr="00AB25FC">
        <w:rPr>
          <w:i/>
          <w:lang w:val="en-US"/>
        </w:rPr>
        <w:t>Management Decision, 59</w:t>
      </w:r>
      <w:r w:rsidR="00AB25FC" w:rsidRPr="00AB25FC">
        <w:rPr>
          <w:lang w:val="en-US"/>
        </w:rPr>
        <w:t>(8), 1929-1953. http://dx.doi.org/10.1108/MD-01-2020-0031</w:t>
      </w:r>
    </w:p>
    <w:p w:rsidR="00D03F78" w:rsidRPr="00AB25FC" w:rsidRDefault="00AB25FC">
      <w:pPr>
        <w:ind w:left="709" w:hanging="720"/>
        <w:rPr>
          <w:lang w:val="en-US"/>
        </w:rPr>
      </w:pPr>
      <w:r w:rsidRPr="00AB25FC">
        <w:rPr>
          <w:lang w:val="en-US"/>
        </w:rPr>
        <w:t xml:space="preserve">Li, Y., Huang, S. S., &amp; Song, L. (2020). Opportunity and necessity entrepreneurship in the hospitality sector: Examining the institutional environment influences. </w:t>
      </w:r>
      <w:r w:rsidRPr="00AB25FC">
        <w:rPr>
          <w:i/>
          <w:lang w:val="en-US"/>
        </w:rPr>
        <w:t>Tourism Management Perspectives, 34,</w:t>
      </w:r>
      <w:r w:rsidRPr="00AB25FC">
        <w:rPr>
          <w:lang w:val="en-US"/>
        </w:rPr>
        <w:t xml:space="preserve"> 100665. http://dx.doi.org/10.1016/j.tmp.2020.100665</w:t>
      </w:r>
    </w:p>
    <w:p w:rsidR="00D03F78" w:rsidRPr="00AB25FC" w:rsidRDefault="00AB25FC">
      <w:pPr>
        <w:ind w:left="709" w:hanging="720"/>
        <w:rPr>
          <w:lang w:val="en-US"/>
        </w:rPr>
      </w:pPr>
      <w:proofErr w:type="spellStart"/>
      <w:r w:rsidRPr="00AB25FC">
        <w:rPr>
          <w:lang w:val="en-US"/>
        </w:rPr>
        <w:t>Mangeloja</w:t>
      </w:r>
      <w:proofErr w:type="spellEnd"/>
      <w:r w:rsidRPr="00AB25FC">
        <w:rPr>
          <w:lang w:val="en-US"/>
        </w:rPr>
        <w:t xml:space="preserve">, E., </w:t>
      </w:r>
      <w:proofErr w:type="spellStart"/>
      <w:r w:rsidRPr="00AB25FC">
        <w:rPr>
          <w:lang w:val="en-US"/>
        </w:rPr>
        <w:t>Ovaska</w:t>
      </w:r>
      <w:proofErr w:type="spellEnd"/>
      <w:r w:rsidRPr="00AB25FC">
        <w:rPr>
          <w:lang w:val="en-US"/>
        </w:rPr>
        <w:t xml:space="preserve">, T., &amp; Takashima, R. (2022). Entrepreneurial choices depend on trust: Some global evidence. </w:t>
      </w:r>
      <w:r w:rsidRPr="00AB25FC">
        <w:rPr>
          <w:i/>
          <w:lang w:val="en-US"/>
        </w:rPr>
        <w:t>Journal of International Entrepreneurship</w:t>
      </w:r>
      <w:r w:rsidRPr="00AB25FC">
        <w:rPr>
          <w:lang w:val="en-US"/>
        </w:rPr>
        <w:t>, 1-27. http://dx.doi.org/10.1007/s10843-022-00315-0</w:t>
      </w:r>
    </w:p>
    <w:p w:rsidR="00D03F78" w:rsidRPr="00AB25FC" w:rsidRDefault="00AB25FC">
      <w:pPr>
        <w:ind w:left="709" w:hanging="720"/>
        <w:rPr>
          <w:lang w:val="en-US"/>
        </w:rPr>
      </w:pPr>
      <w:r w:rsidRPr="00AB25FC">
        <w:rPr>
          <w:lang w:val="en-US"/>
        </w:rPr>
        <w:t xml:space="preserve">Miao, C., </w:t>
      </w:r>
      <w:proofErr w:type="spellStart"/>
      <w:r w:rsidRPr="00AB25FC">
        <w:rPr>
          <w:lang w:val="en-US"/>
        </w:rPr>
        <w:t>Gast</w:t>
      </w:r>
      <w:proofErr w:type="spellEnd"/>
      <w:r w:rsidRPr="00AB25FC">
        <w:rPr>
          <w:lang w:val="en-US"/>
        </w:rPr>
        <w:t xml:space="preserve">, J., </w:t>
      </w:r>
      <w:proofErr w:type="spellStart"/>
      <w:r w:rsidRPr="00AB25FC">
        <w:rPr>
          <w:lang w:val="en-US"/>
        </w:rPr>
        <w:t>Laouiti</w:t>
      </w:r>
      <w:proofErr w:type="spellEnd"/>
      <w:r w:rsidRPr="00AB25FC">
        <w:rPr>
          <w:lang w:val="en-US"/>
        </w:rPr>
        <w:t xml:space="preserve">, R., &amp; </w:t>
      </w:r>
      <w:proofErr w:type="spellStart"/>
      <w:r w:rsidRPr="00AB25FC">
        <w:rPr>
          <w:lang w:val="en-US"/>
        </w:rPr>
        <w:t>Nakara</w:t>
      </w:r>
      <w:proofErr w:type="spellEnd"/>
      <w:r w:rsidRPr="00AB25FC">
        <w:rPr>
          <w:lang w:val="en-US"/>
        </w:rPr>
        <w:t xml:space="preserve">, W. (2022). Institutional factors, religiosity, and entrepreneurial activity: A quantitative examination across 85 countries. </w:t>
      </w:r>
      <w:r w:rsidRPr="00AB25FC">
        <w:rPr>
          <w:i/>
          <w:lang w:val="en-US"/>
        </w:rPr>
        <w:t>World Development, 149</w:t>
      </w:r>
      <w:r w:rsidRPr="00AB25FC">
        <w:rPr>
          <w:lang w:val="en-US"/>
        </w:rPr>
        <w:t>, 105695. http://dx.doi.org/10.1016/j.worlddev.2021.105695</w:t>
      </w:r>
    </w:p>
    <w:p w:rsidR="00D03F78" w:rsidRPr="00AB25FC" w:rsidRDefault="00AB25FC">
      <w:pPr>
        <w:ind w:left="709" w:hanging="720"/>
        <w:rPr>
          <w:lang w:val="en-US"/>
        </w:rPr>
      </w:pPr>
      <w:r w:rsidRPr="00AB25FC">
        <w:rPr>
          <w:lang w:val="en-US"/>
        </w:rPr>
        <w:t xml:space="preserve">Mickiewicz, T., Hart, M., </w:t>
      </w:r>
      <w:proofErr w:type="spellStart"/>
      <w:r w:rsidRPr="00AB25FC">
        <w:rPr>
          <w:lang w:val="en-US"/>
        </w:rPr>
        <w:t>Nyakudya</w:t>
      </w:r>
      <w:proofErr w:type="spellEnd"/>
      <w:r w:rsidRPr="00AB25FC">
        <w:rPr>
          <w:lang w:val="en-US"/>
        </w:rPr>
        <w:t xml:space="preserve">, </w:t>
      </w:r>
      <w:r w:rsidR="0007109D">
        <w:rPr>
          <w:lang w:val="en-US"/>
        </w:rPr>
        <w:t xml:space="preserve">F., &amp; </w:t>
      </w:r>
      <w:proofErr w:type="spellStart"/>
      <w:r w:rsidR="0007109D">
        <w:rPr>
          <w:lang w:val="en-US"/>
        </w:rPr>
        <w:t>Theodorakopoulos</w:t>
      </w:r>
      <w:proofErr w:type="spellEnd"/>
      <w:r w:rsidR="0007109D">
        <w:rPr>
          <w:lang w:val="en-US"/>
        </w:rPr>
        <w:t>, N. (2017</w:t>
      </w:r>
      <w:r w:rsidRPr="00AB25FC">
        <w:rPr>
          <w:lang w:val="en-US"/>
        </w:rPr>
        <w:t xml:space="preserve">). Ethnic pluralism, immigration and entrepreneurship. </w:t>
      </w:r>
      <w:r w:rsidRPr="00AB25FC">
        <w:rPr>
          <w:i/>
          <w:lang w:val="en-US"/>
        </w:rPr>
        <w:t>Regional Studies, 53</w:t>
      </w:r>
      <w:r w:rsidRPr="00AB25FC">
        <w:rPr>
          <w:lang w:val="en-US"/>
        </w:rPr>
        <w:t>(1), 80-94. http://dx.doi.org/10.1080/00343404.2017.1405157</w:t>
      </w:r>
    </w:p>
    <w:p w:rsidR="00D03F78" w:rsidRPr="00AB25FC" w:rsidRDefault="00AB25FC">
      <w:pPr>
        <w:ind w:left="709" w:hanging="720"/>
        <w:rPr>
          <w:lang w:val="en-US"/>
        </w:rPr>
      </w:pPr>
      <w:r w:rsidRPr="00AB25FC">
        <w:rPr>
          <w:lang w:val="pt-BR"/>
        </w:rPr>
        <w:t xml:space="preserve">Moro, A., </w:t>
      </w:r>
      <w:proofErr w:type="spellStart"/>
      <w:r w:rsidRPr="00AB25FC">
        <w:rPr>
          <w:lang w:val="pt-BR"/>
        </w:rPr>
        <w:t>Maresch</w:t>
      </w:r>
      <w:proofErr w:type="spellEnd"/>
      <w:r w:rsidRPr="00AB25FC">
        <w:rPr>
          <w:lang w:val="pt-BR"/>
        </w:rPr>
        <w:t xml:space="preserve">, D., </w:t>
      </w:r>
      <w:proofErr w:type="spellStart"/>
      <w:r w:rsidRPr="00AB25FC">
        <w:rPr>
          <w:lang w:val="pt-BR"/>
        </w:rPr>
        <w:t>Fink</w:t>
      </w:r>
      <w:proofErr w:type="spellEnd"/>
      <w:r w:rsidRPr="00AB25FC">
        <w:rPr>
          <w:lang w:val="pt-BR"/>
        </w:rPr>
        <w:t xml:space="preserve">, M., Ferrando, A., &amp; </w:t>
      </w:r>
      <w:proofErr w:type="spellStart"/>
      <w:r w:rsidRPr="00AB25FC">
        <w:rPr>
          <w:lang w:val="pt-BR"/>
        </w:rPr>
        <w:t>Piga</w:t>
      </w:r>
      <w:proofErr w:type="spellEnd"/>
      <w:r w:rsidRPr="00AB25FC">
        <w:rPr>
          <w:lang w:val="pt-BR"/>
        </w:rPr>
        <w:t xml:space="preserve">, C. (2020). </w:t>
      </w:r>
      <w:r w:rsidRPr="00AB25FC">
        <w:rPr>
          <w:lang w:val="en-US"/>
        </w:rPr>
        <w:t xml:space="preserve">Spillover effects of government initiatives fostering entrepreneurship on the access to bank credit for entrepreneurial firms in Europe. </w:t>
      </w:r>
      <w:r w:rsidRPr="00AB25FC">
        <w:rPr>
          <w:i/>
          <w:lang w:val="en-US"/>
        </w:rPr>
        <w:t>Journal of Corporate Finance, 62,</w:t>
      </w:r>
      <w:r w:rsidRPr="00AB25FC">
        <w:rPr>
          <w:lang w:val="en-US"/>
        </w:rPr>
        <w:t xml:space="preserve"> 101603. http://dx.doi.org/10.1016/j.jcorpfin.2020.101603</w:t>
      </w:r>
    </w:p>
    <w:p w:rsidR="00D03F78" w:rsidRPr="00AB25FC" w:rsidRDefault="00AB25FC">
      <w:pPr>
        <w:ind w:left="709" w:hanging="720"/>
        <w:rPr>
          <w:lang w:val="en-US"/>
        </w:rPr>
      </w:pPr>
      <w:proofErr w:type="spellStart"/>
      <w:r w:rsidRPr="00AB25FC">
        <w:rPr>
          <w:lang w:val="pt-BR"/>
        </w:rPr>
        <w:lastRenderedPageBreak/>
        <w:t>Nakara</w:t>
      </w:r>
      <w:proofErr w:type="spellEnd"/>
      <w:r w:rsidRPr="00AB25FC">
        <w:rPr>
          <w:lang w:val="pt-BR"/>
        </w:rPr>
        <w:t xml:space="preserve">, W. A., </w:t>
      </w:r>
      <w:proofErr w:type="spellStart"/>
      <w:r w:rsidRPr="00AB25FC">
        <w:rPr>
          <w:lang w:val="pt-BR"/>
        </w:rPr>
        <w:t>Laouiti</w:t>
      </w:r>
      <w:proofErr w:type="spellEnd"/>
      <w:r w:rsidRPr="00AB25FC">
        <w:rPr>
          <w:lang w:val="pt-BR"/>
        </w:rPr>
        <w:t xml:space="preserve">, R., </w:t>
      </w:r>
      <w:proofErr w:type="spellStart"/>
      <w:r w:rsidRPr="00AB25FC">
        <w:rPr>
          <w:lang w:val="pt-BR"/>
        </w:rPr>
        <w:t>Chavez</w:t>
      </w:r>
      <w:proofErr w:type="spellEnd"/>
      <w:r w:rsidRPr="00AB25FC">
        <w:rPr>
          <w:lang w:val="pt-BR"/>
        </w:rPr>
        <w:t xml:space="preserve">, R., &amp; </w:t>
      </w:r>
      <w:proofErr w:type="spellStart"/>
      <w:r w:rsidRPr="00AB25FC">
        <w:rPr>
          <w:lang w:val="pt-BR"/>
        </w:rPr>
        <w:t>Gharbi</w:t>
      </w:r>
      <w:proofErr w:type="spellEnd"/>
      <w:r w:rsidRPr="00AB25FC">
        <w:rPr>
          <w:lang w:val="pt-BR"/>
        </w:rPr>
        <w:t xml:space="preserve">, S. (2020). </w:t>
      </w:r>
      <w:r w:rsidRPr="00AB25FC">
        <w:rPr>
          <w:lang w:val="en-US"/>
        </w:rPr>
        <w:t xml:space="preserve">An economic view of entrepreneurial intention. </w:t>
      </w:r>
      <w:r w:rsidRPr="00AB25FC">
        <w:rPr>
          <w:i/>
          <w:lang w:val="en-US"/>
        </w:rPr>
        <w:t>International Journal of Entrepreneurial Behavior &amp; Research, 26</w:t>
      </w:r>
      <w:r w:rsidRPr="00AB25FC">
        <w:rPr>
          <w:lang w:val="en-US"/>
        </w:rPr>
        <w:t>(8), 1807-1826. http://dx.doi.org/10.1108/IJEBR-12-2019-0693</w:t>
      </w:r>
    </w:p>
    <w:p w:rsidR="00D03F78" w:rsidRPr="00AB25FC" w:rsidRDefault="00AB25FC">
      <w:pPr>
        <w:ind w:left="709" w:hanging="720"/>
        <w:rPr>
          <w:lang w:val="en-US"/>
        </w:rPr>
      </w:pPr>
      <w:r w:rsidRPr="00AB25FC">
        <w:rPr>
          <w:lang w:val="en-US"/>
        </w:rPr>
        <w:t xml:space="preserve">Orlando, B., </w:t>
      </w:r>
      <w:proofErr w:type="spellStart"/>
      <w:r w:rsidRPr="00AB25FC">
        <w:rPr>
          <w:lang w:val="en-US"/>
        </w:rPr>
        <w:t>Tortora</w:t>
      </w:r>
      <w:proofErr w:type="spellEnd"/>
      <w:r w:rsidRPr="00AB25FC">
        <w:rPr>
          <w:lang w:val="en-US"/>
        </w:rPr>
        <w:t xml:space="preserve">, D., </w:t>
      </w:r>
      <w:proofErr w:type="spellStart"/>
      <w:r w:rsidRPr="00AB25FC">
        <w:rPr>
          <w:lang w:val="en-US"/>
        </w:rPr>
        <w:t>Riso</w:t>
      </w:r>
      <w:proofErr w:type="spellEnd"/>
      <w:r w:rsidRPr="00AB25FC">
        <w:rPr>
          <w:lang w:val="en-US"/>
        </w:rPr>
        <w:t>, T., Di Grego</w:t>
      </w:r>
      <w:r w:rsidR="005352C8">
        <w:rPr>
          <w:lang w:val="en-US"/>
        </w:rPr>
        <w:t xml:space="preserve">rio, A., &amp; Del </w:t>
      </w:r>
      <w:proofErr w:type="spellStart"/>
      <w:r w:rsidR="005352C8">
        <w:rPr>
          <w:lang w:val="en-US"/>
        </w:rPr>
        <w:t>Giudice</w:t>
      </w:r>
      <w:proofErr w:type="spellEnd"/>
      <w:r w:rsidR="005352C8">
        <w:rPr>
          <w:lang w:val="en-US"/>
        </w:rPr>
        <w:t>, M. (2021</w:t>
      </w:r>
      <w:r w:rsidRPr="00AB25FC">
        <w:rPr>
          <w:lang w:val="en-US"/>
        </w:rPr>
        <w:t xml:space="preserve">). Entrepreneurial intentions and high-status seeking in career expectations: a portrait of talents in emerging countries. The </w:t>
      </w:r>
      <w:r w:rsidRPr="00AB25FC">
        <w:rPr>
          <w:i/>
          <w:lang w:val="en-US"/>
        </w:rPr>
        <w:t>International Journal of Human Resource Management, 33</w:t>
      </w:r>
      <w:r w:rsidRPr="00AB25FC">
        <w:rPr>
          <w:lang w:val="en-US"/>
        </w:rPr>
        <w:t>(11), 2339-2372. http://dx.doi.org/10.1080/09585192.2021.1875495</w:t>
      </w:r>
    </w:p>
    <w:p w:rsidR="00D03F78" w:rsidRPr="00AB25FC" w:rsidRDefault="00AB25FC">
      <w:pPr>
        <w:ind w:left="709" w:hanging="720"/>
        <w:rPr>
          <w:lang w:val="en-US"/>
        </w:rPr>
      </w:pPr>
      <w:r w:rsidRPr="00AB25FC">
        <w:rPr>
          <w:lang w:val="en-US"/>
        </w:rPr>
        <w:t xml:space="preserve">Pathak, S. (2021). Societal self-control and post-exit entrepreneurial intentions. </w:t>
      </w:r>
      <w:r w:rsidRPr="00AB25FC">
        <w:rPr>
          <w:i/>
          <w:lang w:val="en-US"/>
        </w:rPr>
        <w:t>International Journal of Entrepreneurial Behavior &amp; Research, 27</w:t>
      </w:r>
      <w:r w:rsidRPr="00AB25FC">
        <w:rPr>
          <w:lang w:val="en-US"/>
        </w:rPr>
        <w:t>(7), 1751-1775. http://dx.doi.org/10.1108/IJEBR-11-2019-0655</w:t>
      </w:r>
    </w:p>
    <w:p w:rsidR="00D03F78" w:rsidRPr="00AB25FC" w:rsidRDefault="00AB25FC">
      <w:pPr>
        <w:ind w:left="709" w:hanging="720"/>
        <w:rPr>
          <w:lang w:val="en-US"/>
        </w:rPr>
      </w:pPr>
      <w:r w:rsidRPr="00AB25FC">
        <w:rPr>
          <w:lang w:val="en-US"/>
        </w:rPr>
        <w:t>Path</w:t>
      </w:r>
      <w:r w:rsidR="00FB53E4">
        <w:rPr>
          <w:lang w:val="en-US"/>
        </w:rPr>
        <w:t xml:space="preserve">ak, S., &amp; </w:t>
      </w:r>
      <w:proofErr w:type="spellStart"/>
      <w:r w:rsidR="00FB53E4">
        <w:rPr>
          <w:lang w:val="en-US"/>
        </w:rPr>
        <w:t>Muralidharan</w:t>
      </w:r>
      <w:proofErr w:type="spellEnd"/>
      <w:r w:rsidR="00FB53E4">
        <w:rPr>
          <w:lang w:val="en-US"/>
        </w:rPr>
        <w:t>, E. (2017</w:t>
      </w:r>
      <w:r w:rsidRPr="00AB25FC">
        <w:rPr>
          <w:lang w:val="en-US"/>
        </w:rPr>
        <w:t xml:space="preserve">). Economic inequality and social entrepreneurship. </w:t>
      </w:r>
      <w:r w:rsidRPr="00AB25FC">
        <w:rPr>
          <w:i/>
          <w:lang w:val="en-US"/>
        </w:rPr>
        <w:t>Business &amp; Society, 57</w:t>
      </w:r>
      <w:r w:rsidRPr="00AB25FC">
        <w:rPr>
          <w:lang w:val="en-US"/>
        </w:rPr>
        <w:t>(6), 1150-1190. http://dx.doi.org/10.1177/0007650317696069</w:t>
      </w:r>
    </w:p>
    <w:p w:rsidR="00D03F78" w:rsidRPr="00AB25FC" w:rsidRDefault="00AB25FC">
      <w:pPr>
        <w:ind w:left="709" w:hanging="720"/>
        <w:rPr>
          <w:lang w:val="en-US"/>
        </w:rPr>
      </w:pPr>
      <w:r w:rsidRPr="00AB25FC">
        <w:rPr>
          <w:lang w:val="en-US"/>
        </w:rPr>
        <w:t xml:space="preserve">Pathak, S., &amp; </w:t>
      </w:r>
      <w:proofErr w:type="spellStart"/>
      <w:r w:rsidRPr="00AB25FC">
        <w:rPr>
          <w:lang w:val="en-US"/>
        </w:rPr>
        <w:t>Muralidharan</w:t>
      </w:r>
      <w:proofErr w:type="spellEnd"/>
      <w:r w:rsidRPr="00AB25FC">
        <w:rPr>
          <w:lang w:val="en-US"/>
        </w:rPr>
        <w:t xml:space="preserve">, E. (2021). Consequences of cross-cultural differences in perceived well-being for entrepreneurship. </w:t>
      </w:r>
      <w:r w:rsidRPr="00AB25FC">
        <w:rPr>
          <w:i/>
          <w:lang w:val="en-US"/>
        </w:rPr>
        <w:t>Journal of Business Research, 122</w:t>
      </w:r>
      <w:r w:rsidRPr="00AB25FC">
        <w:rPr>
          <w:lang w:val="en-US"/>
        </w:rPr>
        <w:t>, 582-596. http://dx.doi.org/10.1016/j.jbusres.2020.09.034</w:t>
      </w:r>
    </w:p>
    <w:p w:rsidR="00D03F78" w:rsidRPr="00AB25FC" w:rsidRDefault="00AB25FC">
      <w:pPr>
        <w:ind w:left="709" w:hanging="720"/>
        <w:rPr>
          <w:lang w:val="en-US"/>
        </w:rPr>
      </w:pPr>
      <w:proofErr w:type="spellStart"/>
      <w:r w:rsidRPr="00AB25FC">
        <w:rPr>
          <w:lang w:val="pt-BR"/>
        </w:rPr>
        <w:t>Peris</w:t>
      </w:r>
      <w:proofErr w:type="spellEnd"/>
      <w:r w:rsidRPr="00AB25FC">
        <w:rPr>
          <w:lang w:val="pt-BR"/>
        </w:rPr>
        <w:t>-Ortiz, M., Ferreira,</w:t>
      </w:r>
      <w:r w:rsidR="00FB53E4">
        <w:rPr>
          <w:lang w:val="pt-BR"/>
        </w:rPr>
        <w:t xml:space="preserve"> J. J., &amp; Fernandes, C. I. (2017</w:t>
      </w:r>
      <w:r w:rsidRPr="00AB25FC">
        <w:rPr>
          <w:lang w:val="pt-BR"/>
        </w:rPr>
        <w:t xml:space="preserve">). </w:t>
      </w:r>
      <w:r w:rsidRPr="00AB25FC">
        <w:rPr>
          <w:lang w:val="en-US"/>
        </w:rPr>
        <w:t xml:space="preserve">Do Total Early-stage Entrepreneurial Activities (TEAs) foster innovative practices in OECD countries? </w:t>
      </w:r>
      <w:r w:rsidRPr="00AB25FC">
        <w:rPr>
          <w:i/>
          <w:lang w:val="en-US"/>
        </w:rPr>
        <w:t>Technological Forecasting and Social Change, 129,</w:t>
      </w:r>
      <w:r w:rsidRPr="00AB25FC">
        <w:rPr>
          <w:lang w:val="en-US"/>
        </w:rPr>
        <w:t xml:space="preserve"> 176-184. http://dx.doi.org/10.1016/j.techfore.2017.07.005</w:t>
      </w:r>
    </w:p>
    <w:p w:rsidR="00D03F78" w:rsidRPr="00AB25FC" w:rsidRDefault="00AB25FC">
      <w:pPr>
        <w:ind w:left="709" w:hanging="720"/>
        <w:rPr>
          <w:lang w:val="en-US"/>
        </w:rPr>
      </w:pPr>
      <w:r w:rsidRPr="00AB25FC">
        <w:rPr>
          <w:lang w:val="en-US"/>
        </w:rPr>
        <w:t xml:space="preserve">Peterson, M. (2020). Modeling country entrepreneurial activity to inform entrepreneurial-marketing research. </w:t>
      </w:r>
      <w:r w:rsidRPr="00AB25FC">
        <w:rPr>
          <w:i/>
          <w:lang w:val="en-US"/>
        </w:rPr>
        <w:t>Journal of Business Research, 113,</w:t>
      </w:r>
      <w:r w:rsidRPr="00AB25FC">
        <w:rPr>
          <w:lang w:val="en-US"/>
        </w:rPr>
        <w:t xml:space="preserve"> 105-116. http://dx.doi.org/10.1016/j.jbusres.2018.11.042</w:t>
      </w:r>
    </w:p>
    <w:p w:rsidR="00D03F78" w:rsidRDefault="00AB25FC">
      <w:pPr>
        <w:ind w:left="709" w:hanging="720"/>
      </w:pPr>
      <w:r w:rsidRPr="00AB25FC">
        <w:rPr>
          <w:lang w:val="pt-BR"/>
        </w:rPr>
        <w:t xml:space="preserve">Pinho, J. C., &amp; de Lurdes Martins, M. (2020). </w:t>
      </w:r>
      <w:r w:rsidRPr="00AB25FC">
        <w:rPr>
          <w:lang w:val="en-US"/>
        </w:rPr>
        <w:t xml:space="preserve">The opportunity to create a business: Systemic banking crisis, institutional factor conditions and trade openness. </w:t>
      </w:r>
      <w:proofErr w:type="spellStart"/>
      <w:r>
        <w:rPr>
          <w:i/>
        </w:rPr>
        <w:t>Journal</w:t>
      </w:r>
      <w:proofErr w:type="spellEnd"/>
      <w:r>
        <w:rPr>
          <w:i/>
        </w:rPr>
        <w:t xml:space="preserve"> of International </w:t>
      </w:r>
      <w:proofErr w:type="spellStart"/>
      <w:r>
        <w:rPr>
          <w:i/>
        </w:rPr>
        <w:t>Entrepreneurship</w:t>
      </w:r>
      <w:proofErr w:type="spellEnd"/>
      <w:r>
        <w:rPr>
          <w:i/>
        </w:rPr>
        <w:t>, 18,</w:t>
      </w:r>
      <w:r>
        <w:t xml:space="preserve"> 393-418. http://dx.doi.org/10.1007/s10843-020-00275-3</w:t>
      </w:r>
    </w:p>
    <w:p w:rsidR="00D03F78" w:rsidRPr="00AB25FC" w:rsidRDefault="00AB25FC">
      <w:pPr>
        <w:ind w:left="709" w:hanging="720"/>
        <w:rPr>
          <w:lang w:val="en-US"/>
        </w:rPr>
      </w:pPr>
      <w:r>
        <w:t xml:space="preserve">Pinzón, N., Montero, J., &amp; González-Pernía, J. L. (2021). </w:t>
      </w:r>
      <w:r w:rsidRPr="00AB25FC">
        <w:rPr>
          <w:lang w:val="en-US"/>
        </w:rPr>
        <w:t xml:space="preserve">The influence of individual characteristics on getting involved in an entrepreneurial team: The contingent role of individualism. </w:t>
      </w:r>
      <w:r w:rsidRPr="00AB25FC">
        <w:rPr>
          <w:i/>
          <w:lang w:val="en-US"/>
        </w:rPr>
        <w:t>International entrepreneurship and management journal</w:t>
      </w:r>
      <w:r w:rsidRPr="00AB25FC">
        <w:rPr>
          <w:lang w:val="en-US"/>
        </w:rPr>
        <w:t>, 1-38. http://dx.doi.org/10.1016/j.ibusrev.2017.09.011</w:t>
      </w:r>
    </w:p>
    <w:p w:rsidR="00D03F78" w:rsidRPr="00AB25FC" w:rsidRDefault="00AB25FC">
      <w:pPr>
        <w:ind w:left="709" w:hanging="720"/>
        <w:rPr>
          <w:lang w:val="en-US"/>
        </w:rPr>
      </w:pPr>
      <w:proofErr w:type="spellStart"/>
      <w:r w:rsidRPr="00AB25FC">
        <w:rPr>
          <w:lang w:val="en-US"/>
        </w:rPr>
        <w:lastRenderedPageBreak/>
        <w:t>Pittino</w:t>
      </w:r>
      <w:proofErr w:type="spellEnd"/>
      <w:r w:rsidRPr="00AB25FC">
        <w:rPr>
          <w:lang w:val="en-US"/>
        </w:rPr>
        <w:t xml:space="preserve">, D., Chirico, F., </w:t>
      </w:r>
      <w:proofErr w:type="spellStart"/>
      <w:r w:rsidRPr="00AB25FC">
        <w:rPr>
          <w:lang w:val="en-US"/>
        </w:rPr>
        <w:t>Baù</w:t>
      </w:r>
      <w:proofErr w:type="spellEnd"/>
      <w:r w:rsidRPr="00AB25FC">
        <w:rPr>
          <w:lang w:val="en-US"/>
        </w:rPr>
        <w:t xml:space="preserve">, M., </w:t>
      </w:r>
      <w:proofErr w:type="spellStart"/>
      <w:r w:rsidRPr="00AB25FC">
        <w:rPr>
          <w:lang w:val="en-US"/>
        </w:rPr>
        <w:t>Villasana</w:t>
      </w:r>
      <w:proofErr w:type="spellEnd"/>
      <w:r w:rsidRPr="00AB25FC">
        <w:rPr>
          <w:lang w:val="en-US"/>
        </w:rPr>
        <w:t>, M., Naranjo-</w:t>
      </w:r>
      <w:proofErr w:type="spellStart"/>
      <w:r w:rsidRPr="00AB25FC">
        <w:rPr>
          <w:lang w:val="en-US"/>
        </w:rPr>
        <w:t>Priego</w:t>
      </w:r>
      <w:proofErr w:type="spellEnd"/>
      <w:r w:rsidRPr="00AB25FC">
        <w:rPr>
          <w:lang w:val="en-US"/>
        </w:rPr>
        <w:t xml:space="preserve">, E. E., &amp; Barron, E. (2020). Starting a family business as a career option: The role of the family household in Mexico. </w:t>
      </w:r>
      <w:r w:rsidRPr="00AB25FC">
        <w:rPr>
          <w:i/>
          <w:lang w:val="en-US"/>
        </w:rPr>
        <w:t>Journal of Family Business Strategy, 11</w:t>
      </w:r>
      <w:r w:rsidRPr="00AB25FC">
        <w:rPr>
          <w:lang w:val="en-US"/>
        </w:rPr>
        <w:t>(2), 100338. http://dx.doi.org/10.1016/j.jfbs.2020.100338</w:t>
      </w:r>
    </w:p>
    <w:p w:rsidR="00D03F78" w:rsidRPr="00AB25FC" w:rsidRDefault="00AB25FC">
      <w:pPr>
        <w:ind w:left="709" w:hanging="720"/>
        <w:rPr>
          <w:lang w:val="en-US"/>
        </w:rPr>
      </w:pPr>
      <w:r>
        <w:t xml:space="preserve">Puente, R., González Espitia, C. G., &amp; </w:t>
      </w:r>
      <w:proofErr w:type="spellStart"/>
      <w:r>
        <w:t>Cervilla</w:t>
      </w:r>
      <w:proofErr w:type="spellEnd"/>
      <w:r>
        <w:t xml:space="preserve">, M. A. (2019). </w:t>
      </w:r>
      <w:r w:rsidRPr="00AB25FC">
        <w:rPr>
          <w:lang w:val="en-US"/>
        </w:rPr>
        <w:t>Necessity entrepreneurship in Latin America: it</w:t>
      </w:r>
      <w:r>
        <w:rPr>
          <w:lang w:val="en-US"/>
        </w:rPr>
        <w:t>’</w:t>
      </w:r>
      <w:r w:rsidRPr="00AB25FC">
        <w:rPr>
          <w:lang w:val="en-US"/>
        </w:rPr>
        <w:t xml:space="preserve">s not that simple. </w:t>
      </w:r>
      <w:r w:rsidRPr="00AB25FC">
        <w:rPr>
          <w:i/>
          <w:lang w:val="en-US"/>
        </w:rPr>
        <w:t>Entrepreneurship &amp; Regional Development, 31</w:t>
      </w:r>
      <w:r w:rsidRPr="00AB25FC">
        <w:rPr>
          <w:lang w:val="en-US"/>
        </w:rPr>
        <w:t>(9-10), 953-983. http://dx.doi.org/10.1080/08985626.2019.1650294</w:t>
      </w:r>
    </w:p>
    <w:p w:rsidR="00D03F78" w:rsidRPr="00AB25FC" w:rsidRDefault="00AB25FC">
      <w:pPr>
        <w:ind w:left="709" w:hanging="720"/>
        <w:rPr>
          <w:lang w:val="en-US"/>
        </w:rPr>
      </w:pPr>
      <w:proofErr w:type="spellStart"/>
      <w:r w:rsidRPr="00AB25FC">
        <w:rPr>
          <w:lang w:val="en-US"/>
        </w:rPr>
        <w:t>Queirós</w:t>
      </w:r>
      <w:proofErr w:type="spellEnd"/>
      <w:r w:rsidRPr="00AB25FC">
        <w:rPr>
          <w:lang w:val="en-US"/>
        </w:rPr>
        <w:t xml:space="preserve">, M., Braga, V., &amp; </w:t>
      </w:r>
      <w:proofErr w:type="spellStart"/>
      <w:r w:rsidRPr="00AB25FC">
        <w:rPr>
          <w:lang w:val="en-US"/>
        </w:rPr>
        <w:t>Correia</w:t>
      </w:r>
      <w:proofErr w:type="spellEnd"/>
      <w:r w:rsidRPr="00AB25FC">
        <w:rPr>
          <w:lang w:val="en-US"/>
        </w:rPr>
        <w:t xml:space="preserve">, A. (2019). Cross-country analysis to high-growth business: Unveiling its determinants. </w:t>
      </w:r>
      <w:r w:rsidRPr="00AB25FC">
        <w:rPr>
          <w:i/>
          <w:lang w:val="en-US"/>
        </w:rPr>
        <w:t>Journal of Innovation &amp; Knowledge, 4</w:t>
      </w:r>
      <w:r w:rsidRPr="00AB25FC">
        <w:rPr>
          <w:lang w:val="en-US"/>
        </w:rPr>
        <w:t>(3), 146-153. http://dx.doi.org/10.1016/j.jik.2018.03.006</w:t>
      </w:r>
    </w:p>
    <w:p w:rsidR="00D03F78" w:rsidRPr="00AB25FC" w:rsidRDefault="00AB25FC">
      <w:pPr>
        <w:ind w:left="709" w:hanging="720"/>
        <w:rPr>
          <w:lang w:val="en-US"/>
        </w:rPr>
      </w:pPr>
      <w:r w:rsidRPr="00AB25FC">
        <w:rPr>
          <w:lang w:val="en-US"/>
        </w:rPr>
        <w:t>Qin, F., Mickiewicz, T., &amp; Estri</w:t>
      </w:r>
      <w:r w:rsidR="009D1FA2">
        <w:rPr>
          <w:lang w:val="en-US"/>
        </w:rPr>
        <w:t>n, S. (2021</w:t>
      </w:r>
      <w:r w:rsidRPr="00AB25FC">
        <w:rPr>
          <w:lang w:val="en-US"/>
        </w:rPr>
        <w:t xml:space="preserve">). </w:t>
      </w:r>
      <w:proofErr w:type="spellStart"/>
      <w:r w:rsidRPr="00AB25FC">
        <w:rPr>
          <w:lang w:val="en-US"/>
        </w:rPr>
        <w:t>Homophily</w:t>
      </w:r>
      <w:proofErr w:type="spellEnd"/>
      <w:r w:rsidRPr="00AB25FC">
        <w:rPr>
          <w:lang w:val="en-US"/>
        </w:rPr>
        <w:t xml:space="preserve"> and peer influence in early-stage new venture informal investment. </w:t>
      </w:r>
      <w:r w:rsidRPr="00AB25FC">
        <w:rPr>
          <w:i/>
          <w:lang w:val="en-US"/>
        </w:rPr>
        <w:t>Small Business Economics, 59</w:t>
      </w:r>
      <w:r w:rsidRPr="00AB25FC">
        <w:rPr>
          <w:lang w:val="en-US"/>
        </w:rPr>
        <w:t>(1), 93-116. http://dx.doi.org/10.1007/s11187-021-00523-3</w:t>
      </w:r>
    </w:p>
    <w:p w:rsidR="00D03F78" w:rsidRPr="00AB25FC" w:rsidRDefault="00AB25FC">
      <w:pPr>
        <w:ind w:left="709" w:hanging="720"/>
        <w:rPr>
          <w:lang w:val="en-US"/>
        </w:rPr>
      </w:pPr>
      <w:proofErr w:type="spellStart"/>
      <w:r w:rsidRPr="00AB25FC">
        <w:rPr>
          <w:lang w:val="en-US"/>
        </w:rPr>
        <w:t>Roomi</w:t>
      </w:r>
      <w:proofErr w:type="spellEnd"/>
      <w:r w:rsidRPr="00AB25FC">
        <w:rPr>
          <w:lang w:val="en-US"/>
        </w:rPr>
        <w:t xml:space="preserve">, M. A., </w:t>
      </w:r>
      <w:proofErr w:type="spellStart"/>
      <w:r w:rsidRPr="00AB25FC">
        <w:rPr>
          <w:lang w:val="en-US"/>
        </w:rPr>
        <w:t>Saiz</w:t>
      </w:r>
      <w:proofErr w:type="spellEnd"/>
      <w:r w:rsidRPr="00AB25FC">
        <w:rPr>
          <w:lang w:val="en-US"/>
        </w:rPr>
        <w:t xml:space="preserve">-Alvarez, J. M., &amp; </w:t>
      </w:r>
      <w:proofErr w:type="spellStart"/>
      <w:r w:rsidRPr="00AB25FC">
        <w:rPr>
          <w:lang w:val="en-US"/>
        </w:rPr>
        <w:t>Coduras</w:t>
      </w:r>
      <w:proofErr w:type="spellEnd"/>
      <w:r w:rsidRPr="00AB25FC">
        <w:rPr>
          <w:lang w:val="en-US"/>
        </w:rPr>
        <w:t xml:space="preserve">, A. (2021). Measuring Sustainable Entrepreneurship and Eco-Innovation: A Methodological Proposal for the Global Entrepreneurship Monitor (GEM). </w:t>
      </w:r>
      <w:r w:rsidRPr="00AB25FC">
        <w:rPr>
          <w:i/>
          <w:lang w:val="en-US"/>
        </w:rPr>
        <w:t>Sustainability, 13</w:t>
      </w:r>
      <w:r w:rsidRPr="00AB25FC">
        <w:rPr>
          <w:lang w:val="en-US"/>
        </w:rPr>
        <w:t>(7), 4056. MDPI AG. Retrieved from http://dx.doi.org/10.3390/su13074056</w:t>
      </w:r>
    </w:p>
    <w:p w:rsidR="00D03F78" w:rsidRDefault="00AB25FC">
      <w:pPr>
        <w:ind w:left="709" w:hanging="720"/>
        <w:rPr>
          <w:lang w:val="en-US"/>
        </w:rPr>
      </w:pPr>
      <w:proofErr w:type="spellStart"/>
      <w:r w:rsidRPr="00AB25FC">
        <w:rPr>
          <w:lang w:val="en-US"/>
        </w:rPr>
        <w:t>Sá</w:t>
      </w:r>
      <w:proofErr w:type="spellEnd"/>
      <w:r w:rsidRPr="00AB25FC">
        <w:rPr>
          <w:lang w:val="en-US"/>
        </w:rPr>
        <w:t xml:space="preserve">, E. S., &amp; de </w:t>
      </w:r>
      <w:proofErr w:type="spellStart"/>
      <w:r w:rsidRPr="00AB25FC">
        <w:rPr>
          <w:lang w:val="en-US"/>
        </w:rPr>
        <w:t>Pinho</w:t>
      </w:r>
      <w:proofErr w:type="spellEnd"/>
      <w:r w:rsidRPr="00AB25FC">
        <w:rPr>
          <w:lang w:val="en-US"/>
        </w:rPr>
        <w:t xml:space="preserve">, J. C. M. (2019). Effect of entrepreneurial framework conditions on R&amp;D transfer to new and growing firms: The case of European Union innovation-driven countries. </w:t>
      </w:r>
      <w:r w:rsidRPr="00AB25FC">
        <w:rPr>
          <w:i/>
          <w:lang w:val="en-US"/>
        </w:rPr>
        <w:t>Technological Forecasting and Social Change, 141,</w:t>
      </w:r>
      <w:r w:rsidRPr="00AB25FC">
        <w:rPr>
          <w:lang w:val="en-US"/>
        </w:rPr>
        <w:t xml:space="preserve"> 47-58. </w:t>
      </w:r>
      <w:hyperlink r:id="rId19" w:history="1">
        <w:r w:rsidRPr="00AB25FC">
          <w:rPr>
            <w:lang w:val="en-US"/>
          </w:rPr>
          <w:t>http://dx.doi.org/10.1016/j.techfore.2019.01.017</w:t>
        </w:r>
      </w:hyperlink>
    </w:p>
    <w:p w:rsidR="00AB25FC" w:rsidRPr="00AB25FC" w:rsidRDefault="00AB25FC" w:rsidP="00AB25FC">
      <w:pPr>
        <w:ind w:left="709" w:hanging="720"/>
        <w:rPr>
          <w:lang w:val="en-US"/>
        </w:rPr>
      </w:pPr>
      <w:proofErr w:type="spellStart"/>
      <w:r w:rsidRPr="00AB25FC">
        <w:rPr>
          <w:lang w:val="en-US"/>
        </w:rPr>
        <w:t>Sedeh</w:t>
      </w:r>
      <w:proofErr w:type="spellEnd"/>
      <w:r w:rsidRPr="00AB25FC">
        <w:rPr>
          <w:lang w:val="en-US"/>
        </w:rPr>
        <w:t xml:space="preserve">, A., </w:t>
      </w:r>
      <w:proofErr w:type="spellStart"/>
      <w:r w:rsidRPr="00AB25FC">
        <w:rPr>
          <w:lang w:val="en-US"/>
        </w:rPr>
        <w:t>A</w:t>
      </w:r>
      <w:r w:rsidR="003700A3">
        <w:rPr>
          <w:lang w:val="en-US"/>
        </w:rPr>
        <w:t>bootorabi</w:t>
      </w:r>
      <w:proofErr w:type="spellEnd"/>
      <w:r w:rsidR="003700A3">
        <w:rPr>
          <w:lang w:val="en-US"/>
        </w:rPr>
        <w:t>, H., &amp; Zhang, J. (2020</w:t>
      </w:r>
      <w:r w:rsidRPr="00AB25FC">
        <w:rPr>
          <w:lang w:val="en-US"/>
        </w:rPr>
        <w:t xml:space="preserve">). National social capital, perceived entrepreneurial ability and entrepreneurial intentions. </w:t>
      </w:r>
      <w:r w:rsidRPr="00AB25FC">
        <w:rPr>
          <w:i/>
          <w:lang w:val="en-US"/>
        </w:rPr>
        <w:t>International Journal of Entrepreneurial Behavior &amp; Research, 27</w:t>
      </w:r>
      <w:r w:rsidRPr="00AB25FC">
        <w:rPr>
          <w:lang w:val="en-US"/>
        </w:rPr>
        <w:t>(2), 334-355. http://dx.doi.org/10.1108/IJEBR-10-2019-0616</w:t>
      </w:r>
    </w:p>
    <w:p w:rsidR="00D03F78" w:rsidRPr="00AB25FC" w:rsidRDefault="00AB25FC">
      <w:pPr>
        <w:ind w:left="709" w:hanging="720"/>
        <w:rPr>
          <w:lang w:val="en-US"/>
        </w:rPr>
      </w:pPr>
      <w:proofErr w:type="spellStart"/>
      <w:r w:rsidRPr="00AB25FC">
        <w:rPr>
          <w:lang w:val="en-US"/>
        </w:rPr>
        <w:t>Si</w:t>
      </w:r>
      <w:r w:rsidR="003700A3">
        <w:rPr>
          <w:lang w:val="en-US"/>
        </w:rPr>
        <w:t>taridis</w:t>
      </w:r>
      <w:proofErr w:type="spellEnd"/>
      <w:r w:rsidR="003700A3">
        <w:rPr>
          <w:lang w:val="en-US"/>
        </w:rPr>
        <w:t xml:space="preserve">, I., &amp; </w:t>
      </w:r>
      <w:proofErr w:type="spellStart"/>
      <w:r w:rsidR="003700A3">
        <w:rPr>
          <w:lang w:val="en-US"/>
        </w:rPr>
        <w:t>Kitsios</w:t>
      </w:r>
      <w:proofErr w:type="spellEnd"/>
      <w:r w:rsidR="003700A3">
        <w:rPr>
          <w:lang w:val="en-US"/>
        </w:rPr>
        <w:t>, F. (2019</w:t>
      </w:r>
      <w:r w:rsidRPr="00AB25FC">
        <w:rPr>
          <w:lang w:val="en-US"/>
        </w:rPr>
        <w:t xml:space="preserve">). Competitiveness analysis and evaluation of entrepreneurial ecosystems: A multi-criteria approach. </w:t>
      </w:r>
      <w:r w:rsidRPr="00AB25FC">
        <w:rPr>
          <w:i/>
          <w:lang w:val="en-US"/>
        </w:rPr>
        <w:t>Annals of Operations Research, 294</w:t>
      </w:r>
      <w:r w:rsidRPr="00AB25FC">
        <w:rPr>
          <w:lang w:val="en-US"/>
        </w:rPr>
        <w:t>(1-2), 377-399. http://dx.doi.org/10.1007/s10479-019-03404-x</w:t>
      </w:r>
    </w:p>
    <w:p w:rsidR="00D03F78" w:rsidRPr="00AB25FC" w:rsidRDefault="00AB25FC">
      <w:pPr>
        <w:ind w:left="709" w:hanging="720"/>
        <w:rPr>
          <w:lang w:val="en-US"/>
        </w:rPr>
      </w:pPr>
      <w:proofErr w:type="spellStart"/>
      <w:r w:rsidRPr="00AB25FC">
        <w:rPr>
          <w:lang w:val="en-US"/>
        </w:rPr>
        <w:t>Soluk</w:t>
      </w:r>
      <w:proofErr w:type="spellEnd"/>
      <w:r w:rsidRPr="00AB25FC">
        <w:rPr>
          <w:lang w:val="en-US"/>
        </w:rPr>
        <w:t xml:space="preserve">, J., </w:t>
      </w:r>
      <w:proofErr w:type="spellStart"/>
      <w:r w:rsidRPr="00AB25FC">
        <w:rPr>
          <w:lang w:val="en-US"/>
        </w:rPr>
        <w:t>Kammerlander</w:t>
      </w:r>
      <w:proofErr w:type="spellEnd"/>
      <w:r w:rsidRPr="00AB25FC">
        <w:rPr>
          <w:lang w:val="en-US"/>
        </w:rPr>
        <w:t xml:space="preserve">, N., &amp; Darwin, S. (2021). Digital entrepreneurship in developing countries: The role of institutional voids, </w:t>
      </w:r>
      <w:r w:rsidRPr="00AB25FC">
        <w:rPr>
          <w:i/>
          <w:lang w:val="en-US"/>
        </w:rPr>
        <w:t>Technological Forecasting and Social Change, 170,</w:t>
      </w:r>
      <w:r w:rsidRPr="00AB25FC">
        <w:rPr>
          <w:lang w:val="en-US"/>
        </w:rPr>
        <w:t xml:space="preserve"> https://doi.org/10.1016/j.techfore.2021.120876.</w:t>
      </w:r>
    </w:p>
    <w:p w:rsidR="00D03F78" w:rsidRPr="00AB25FC" w:rsidRDefault="00AB25FC">
      <w:pPr>
        <w:ind w:left="709" w:hanging="720"/>
        <w:rPr>
          <w:lang w:val="en-US"/>
        </w:rPr>
      </w:pPr>
      <w:r w:rsidRPr="00AB25FC">
        <w:rPr>
          <w:lang w:val="en-US"/>
        </w:rPr>
        <w:lastRenderedPageBreak/>
        <w:t xml:space="preserve">Song, C., Park, K. M., &amp; Kim, Y. (2020). Socio-cultural factors explaining technology-based entrepreneurial activity: Direct and indirect role of social security. </w:t>
      </w:r>
      <w:r w:rsidRPr="00AB25FC">
        <w:rPr>
          <w:i/>
          <w:lang w:val="en-US"/>
        </w:rPr>
        <w:t>Technology in society, 61,</w:t>
      </w:r>
      <w:r w:rsidRPr="00AB25FC">
        <w:rPr>
          <w:lang w:val="en-US"/>
        </w:rPr>
        <w:t xml:space="preserve"> 101246. http://dx.doi.org/10.1016/j.techsoc.2020.101246</w:t>
      </w:r>
    </w:p>
    <w:p w:rsidR="00D03F78" w:rsidRPr="00AB25FC" w:rsidRDefault="00AB25FC">
      <w:pPr>
        <w:ind w:left="709" w:hanging="720"/>
        <w:rPr>
          <w:lang w:val="en-US"/>
        </w:rPr>
      </w:pPr>
      <w:proofErr w:type="spellStart"/>
      <w:r w:rsidRPr="00AB25FC">
        <w:rPr>
          <w:lang w:val="en-US"/>
        </w:rPr>
        <w:t>Szerb</w:t>
      </w:r>
      <w:proofErr w:type="spellEnd"/>
      <w:r w:rsidRPr="00AB25FC">
        <w:rPr>
          <w:lang w:val="en-US"/>
        </w:rPr>
        <w:t>, L., &amp;</w:t>
      </w:r>
      <w:r w:rsidR="00F032C1">
        <w:rPr>
          <w:lang w:val="en-US"/>
        </w:rPr>
        <w:t xml:space="preserve"> </w:t>
      </w:r>
      <w:proofErr w:type="spellStart"/>
      <w:r w:rsidR="00F032C1">
        <w:rPr>
          <w:lang w:val="en-US"/>
        </w:rPr>
        <w:t>Vörös</w:t>
      </w:r>
      <w:proofErr w:type="spellEnd"/>
      <w:r w:rsidR="00F032C1">
        <w:rPr>
          <w:lang w:val="en-US"/>
        </w:rPr>
        <w:t>, Z. (2019</w:t>
      </w:r>
      <w:r w:rsidRPr="00AB25FC">
        <w:rPr>
          <w:lang w:val="en-US"/>
        </w:rPr>
        <w:t xml:space="preserve">). The changing form of overconfidence and its effect on growth expectations at the early stages of startups. </w:t>
      </w:r>
      <w:r w:rsidRPr="00AB25FC">
        <w:rPr>
          <w:i/>
          <w:lang w:val="en-US"/>
        </w:rPr>
        <w:t>Small Business Economics, 57</w:t>
      </w:r>
      <w:r w:rsidRPr="00AB25FC">
        <w:rPr>
          <w:lang w:val="en-US"/>
        </w:rPr>
        <w:t>, 151-165. http://dx.doi.org/10.1007/s11187-019-00297-9</w:t>
      </w:r>
    </w:p>
    <w:p w:rsidR="00D03F78" w:rsidRPr="00AB25FC" w:rsidRDefault="00AB25FC">
      <w:pPr>
        <w:ind w:left="709" w:hanging="720"/>
        <w:rPr>
          <w:lang w:val="en-US"/>
        </w:rPr>
      </w:pPr>
      <w:r w:rsidRPr="00AB25FC">
        <w:rPr>
          <w:lang w:val="en-US"/>
        </w:rPr>
        <w:t xml:space="preserve">Torres, P., &amp; Augusto, M. (2018). Cultural configurations and entrepreneurial </w:t>
      </w:r>
      <w:proofErr w:type="spellStart"/>
      <w:r w:rsidRPr="00AB25FC">
        <w:rPr>
          <w:lang w:val="en-US"/>
        </w:rPr>
        <w:t>realisation</w:t>
      </w:r>
      <w:proofErr w:type="spellEnd"/>
      <w:r w:rsidRPr="00AB25FC">
        <w:rPr>
          <w:lang w:val="en-US"/>
        </w:rPr>
        <w:t xml:space="preserve">. </w:t>
      </w:r>
      <w:r w:rsidRPr="00AB25FC">
        <w:rPr>
          <w:i/>
          <w:lang w:val="en-US"/>
        </w:rPr>
        <w:t>International Journal of Entrepreneurial Behavior &amp; Research, 25</w:t>
      </w:r>
      <w:r w:rsidRPr="00AB25FC">
        <w:rPr>
          <w:lang w:val="en-US"/>
        </w:rPr>
        <w:t>(1), 112-128. http://dx.doi.org/10.1108/IJEBR-12-2017-0525</w:t>
      </w:r>
    </w:p>
    <w:p w:rsidR="00D03F78" w:rsidRPr="00AB25FC" w:rsidRDefault="00AB25FC">
      <w:pPr>
        <w:ind w:left="709" w:hanging="720"/>
        <w:rPr>
          <w:lang w:val="en-US"/>
        </w:rPr>
      </w:pPr>
      <w:r w:rsidRPr="00AB25FC">
        <w:rPr>
          <w:lang w:val="pt-BR"/>
        </w:rPr>
        <w:t xml:space="preserve">Turro, A., </w:t>
      </w:r>
      <w:proofErr w:type="spellStart"/>
      <w:r w:rsidRPr="00AB25FC">
        <w:rPr>
          <w:lang w:val="pt-BR"/>
        </w:rPr>
        <w:t>Noguera</w:t>
      </w:r>
      <w:proofErr w:type="spellEnd"/>
      <w:r w:rsidRPr="00AB25FC">
        <w:rPr>
          <w:lang w:val="pt-BR"/>
        </w:rPr>
        <w:t xml:space="preserve">, M., &amp; Urbano, D. (2020). </w:t>
      </w:r>
      <w:r w:rsidRPr="00AB25FC">
        <w:rPr>
          <w:lang w:val="en-US"/>
        </w:rPr>
        <w:t xml:space="preserve">Antecedents of entrepreneurial employee activity: does gender play a role? </w:t>
      </w:r>
      <w:r w:rsidRPr="00AB25FC">
        <w:rPr>
          <w:i/>
          <w:lang w:val="en-US"/>
        </w:rPr>
        <w:t>International Journal of Entrepreneurial Behavior &amp; Research, 26</w:t>
      </w:r>
      <w:r w:rsidRPr="00AB25FC">
        <w:rPr>
          <w:lang w:val="en-US"/>
        </w:rPr>
        <w:t>(8), 1685-1706. http://dx.doi.org/10.1108/IJEBR-09-2019-0529</w:t>
      </w:r>
    </w:p>
    <w:p w:rsidR="00D03F78" w:rsidRPr="00AB25FC" w:rsidRDefault="00AB25FC">
      <w:pPr>
        <w:ind w:left="709" w:hanging="720"/>
        <w:rPr>
          <w:lang w:val="en-US"/>
        </w:rPr>
      </w:pPr>
      <w:r w:rsidRPr="00AB25FC">
        <w:rPr>
          <w:lang w:val="pt-BR"/>
        </w:rPr>
        <w:t>Urbano, D., Guerrero, M., Ferreira,</w:t>
      </w:r>
      <w:r w:rsidR="00F032C1">
        <w:rPr>
          <w:lang w:val="pt-BR"/>
        </w:rPr>
        <w:t xml:space="preserve"> J. J., &amp; Fernandes, C. I. (2018</w:t>
      </w:r>
      <w:r w:rsidRPr="00AB25FC">
        <w:rPr>
          <w:lang w:val="pt-BR"/>
        </w:rPr>
        <w:t xml:space="preserve">). </w:t>
      </w:r>
      <w:r w:rsidRPr="00AB25FC">
        <w:rPr>
          <w:lang w:val="en-US"/>
        </w:rPr>
        <w:t xml:space="preserve">New technology entrepreneurship initiatives: Which strategic orientations and environmental conditions matter in the new socio-economic landscape? </w:t>
      </w:r>
      <w:r w:rsidRPr="00AB25FC">
        <w:rPr>
          <w:i/>
          <w:lang w:val="en-US"/>
        </w:rPr>
        <w:t>The Journal of Technology Transfer, 44,</w:t>
      </w:r>
      <w:r w:rsidRPr="00AB25FC">
        <w:rPr>
          <w:lang w:val="en-US"/>
        </w:rPr>
        <w:t xml:space="preserve"> 1577-1602. http://dx.doi.org/10.1007/s10961-018-9675-3</w:t>
      </w:r>
    </w:p>
    <w:p w:rsidR="00D03F78" w:rsidRPr="00AB25FC" w:rsidRDefault="00AB25FC">
      <w:pPr>
        <w:ind w:left="709" w:hanging="720"/>
        <w:rPr>
          <w:lang w:val="en-US"/>
        </w:rPr>
      </w:pPr>
      <w:r w:rsidRPr="00AB25FC">
        <w:rPr>
          <w:lang w:val="pt-BR"/>
        </w:rPr>
        <w:t xml:space="preserve">Veiga, P. M., Teixeira, S. J., Figueiredo, R., &amp; Fernandes, C. I. (2020). </w:t>
      </w:r>
      <w:r w:rsidRPr="00AB25FC">
        <w:rPr>
          <w:lang w:val="en-US"/>
        </w:rPr>
        <w:t xml:space="preserve">Entrepreneurship, innovation and competitiveness: A public institution love triangle. </w:t>
      </w:r>
      <w:r w:rsidRPr="00AB25FC">
        <w:rPr>
          <w:i/>
          <w:lang w:val="en-US"/>
        </w:rPr>
        <w:t>Socio-Economic Planning Sciences, 72,</w:t>
      </w:r>
      <w:r w:rsidRPr="00AB25FC">
        <w:rPr>
          <w:lang w:val="en-US"/>
        </w:rPr>
        <w:t xml:space="preserve"> 100863. http://dx.doi.org/10.1016/j.seps.2020.100863</w:t>
      </w:r>
    </w:p>
    <w:p w:rsidR="00D03F78" w:rsidRPr="00AB25FC" w:rsidRDefault="00AB25FC">
      <w:pPr>
        <w:ind w:left="709" w:hanging="720"/>
        <w:rPr>
          <w:lang w:val="en-US"/>
        </w:rPr>
      </w:pPr>
      <w:r w:rsidRPr="00AB25FC">
        <w:rPr>
          <w:lang w:val="en-US"/>
        </w:rPr>
        <w:t xml:space="preserve">von </w:t>
      </w:r>
      <w:proofErr w:type="spellStart"/>
      <w:r w:rsidRPr="00AB25FC">
        <w:rPr>
          <w:lang w:val="en-US"/>
        </w:rPr>
        <w:t>Bloh</w:t>
      </w:r>
      <w:proofErr w:type="spellEnd"/>
      <w:r w:rsidRPr="00AB25FC">
        <w:rPr>
          <w:lang w:val="en-US"/>
        </w:rPr>
        <w:t xml:space="preserve">, J., </w:t>
      </w:r>
      <w:proofErr w:type="spellStart"/>
      <w:r w:rsidRPr="00AB25FC">
        <w:rPr>
          <w:lang w:val="en-US"/>
        </w:rPr>
        <w:t>Broekel</w:t>
      </w:r>
      <w:proofErr w:type="spellEnd"/>
      <w:r w:rsidRPr="00AB25FC">
        <w:rPr>
          <w:lang w:val="en-US"/>
        </w:rPr>
        <w:t xml:space="preserve">, T., </w:t>
      </w:r>
      <w:proofErr w:type="spellStart"/>
      <w:r w:rsidRPr="00AB25FC">
        <w:rPr>
          <w:lang w:val="en-US"/>
        </w:rPr>
        <w:t>Özgun</w:t>
      </w:r>
      <w:proofErr w:type="spellEnd"/>
      <w:r w:rsidRPr="00AB25FC">
        <w:rPr>
          <w:lang w:val="en-US"/>
        </w:rPr>
        <w:t>, B., &amp; Sternber</w:t>
      </w:r>
      <w:r w:rsidR="008373F3">
        <w:rPr>
          <w:lang w:val="en-US"/>
        </w:rPr>
        <w:t>g, R. (2019</w:t>
      </w:r>
      <w:r w:rsidRPr="00AB25FC">
        <w:rPr>
          <w:lang w:val="en-US"/>
        </w:rPr>
        <w:t xml:space="preserve">). New(s) data for entrepreneurship research? An innovative approach to use Big Data on media coverage. </w:t>
      </w:r>
      <w:r w:rsidRPr="00AB25FC">
        <w:rPr>
          <w:i/>
          <w:lang w:val="en-US"/>
        </w:rPr>
        <w:t>Small Business Economics, 55</w:t>
      </w:r>
      <w:r w:rsidRPr="00AB25FC">
        <w:rPr>
          <w:lang w:val="en-US"/>
        </w:rPr>
        <w:t>, 673-694. http://dx.doi.org/10.1007/s11187-019-00209-x</w:t>
      </w:r>
    </w:p>
    <w:p w:rsidR="00D03F78" w:rsidRPr="00AB25FC" w:rsidRDefault="00AB25FC">
      <w:pPr>
        <w:ind w:left="709" w:hanging="720"/>
        <w:rPr>
          <w:lang w:val="en-US"/>
        </w:rPr>
      </w:pPr>
      <w:r w:rsidRPr="00AB25FC">
        <w:rPr>
          <w:lang w:val="en-US"/>
        </w:rPr>
        <w:t xml:space="preserve">von </w:t>
      </w:r>
      <w:proofErr w:type="spellStart"/>
      <w:r w:rsidRPr="00AB25FC">
        <w:rPr>
          <w:lang w:val="en-US"/>
        </w:rPr>
        <w:t>Bloh</w:t>
      </w:r>
      <w:proofErr w:type="spellEnd"/>
      <w:r w:rsidRPr="00AB25FC">
        <w:rPr>
          <w:lang w:val="en-US"/>
        </w:rPr>
        <w:t xml:space="preserve">, J., </w:t>
      </w:r>
      <w:proofErr w:type="spellStart"/>
      <w:r w:rsidRPr="00AB25FC">
        <w:rPr>
          <w:lang w:val="en-US"/>
        </w:rPr>
        <w:t>Mandakovic</w:t>
      </w:r>
      <w:proofErr w:type="spellEnd"/>
      <w:r w:rsidRPr="00AB25FC">
        <w:rPr>
          <w:lang w:val="en-US"/>
        </w:rPr>
        <w:t xml:space="preserve">, V., </w:t>
      </w:r>
      <w:proofErr w:type="spellStart"/>
      <w:r w:rsidRPr="00AB25FC">
        <w:rPr>
          <w:lang w:val="en-US"/>
        </w:rPr>
        <w:t>Apablaza</w:t>
      </w:r>
      <w:proofErr w:type="spellEnd"/>
      <w:r w:rsidRPr="00AB25FC">
        <w:rPr>
          <w:lang w:val="en-US"/>
        </w:rPr>
        <w:t xml:space="preserve">, M., </w:t>
      </w:r>
      <w:proofErr w:type="spellStart"/>
      <w:r w:rsidRPr="00AB25FC">
        <w:rPr>
          <w:lang w:val="en-US"/>
        </w:rPr>
        <w:t>Amorós</w:t>
      </w:r>
      <w:proofErr w:type="spellEnd"/>
      <w:r w:rsidRPr="00AB25FC">
        <w:rPr>
          <w:lang w:val="en-US"/>
        </w:rPr>
        <w:t>, J. E.</w:t>
      </w:r>
      <w:r w:rsidR="008373F3">
        <w:rPr>
          <w:lang w:val="en-US"/>
        </w:rPr>
        <w:t>, &amp; Sternberg, R. (2019</w:t>
      </w:r>
      <w:r w:rsidRPr="00AB25FC">
        <w:rPr>
          <w:lang w:val="en-US"/>
        </w:rPr>
        <w:t xml:space="preserve">). Transnational entrepreneurs: opportunity or necessity driven? Empirical evidence from two dynamic economies from Latin America and Europe. </w:t>
      </w:r>
      <w:r w:rsidRPr="00AB25FC">
        <w:rPr>
          <w:i/>
          <w:lang w:val="en-US"/>
        </w:rPr>
        <w:t xml:space="preserve">In Diaspora Governance and Transnational Entrepreneurship </w:t>
      </w:r>
      <w:r w:rsidRPr="00AB25FC">
        <w:rPr>
          <w:lang w:val="en-US"/>
        </w:rPr>
        <w:t>(pp. 50-68). Routledge. http://dx.doi.org/10.1080/1369183X.2018.1559996</w:t>
      </w:r>
    </w:p>
    <w:p w:rsidR="00D03F78" w:rsidRPr="00AB25FC" w:rsidRDefault="00AB25FC">
      <w:pPr>
        <w:ind w:left="709" w:hanging="720"/>
        <w:rPr>
          <w:lang w:val="en-US"/>
        </w:rPr>
      </w:pPr>
      <w:r w:rsidRPr="00AB25FC">
        <w:rPr>
          <w:lang w:val="en-US"/>
        </w:rPr>
        <w:t xml:space="preserve">Wang, X., Deng, S., &amp; </w:t>
      </w:r>
      <w:proofErr w:type="spellStart"/>
      <w:r w:rsidRPr="00AB25FC">
        <w:rPr>
          <w:lang w:val="en-US"/>
        </w:rPr>
        <w:t>Alon</w:t>
      </w:r>
      <w:proofErr w:type="spellEnd"/>
      <w:r w:rsidRPr="00AB25FC">
        <w:rPr>
          <w:lang w:val="en-US"/>
        </w:rPr>
        <w:t xml:space="preserve">, I. (2021). Women executives and financing pecking order of GEM-listed companies: Moderating roles of social capital and regional institutional environment. </w:t>
      </w:r>
      <w:r w:rsidRPr="00AB25FC">
        <w:rPr>
          <w:i/>
          <w:lang w:val="en-US"/>
        </w:rPr>
        <w:t>Journal of Business Research, 136,</w:t>
      </w:r>
      <w:r w:rsidRPr="00AB25FC">
        <w:rPr>
          <w:lang w:val="en-US"/>
        </w:rPr>
        <w:t xml:space="preserve"> 466-478. http://dx.doi.org/10.1016/j.jbusres.2021.07.055</w:t>
      </w:r>
    </w:p>
    <w:p w:rsidR="00D03F78" w:rsidRPr="00AB25FC" w:rsidRDefault="00AB25FC">
      <w:pPr>
        <w:ind w:left="709" w:hanging="720"/>
        <w:rPr>
          <w:lang w:val="en-US"/>
        </w:rPr>
      </w:pPr>
      <w:r w:rsidRPr="00AB25FC">
        <w:rPr>
          <w:lang w:val="en-US"/>
        </w:rPr>
        <w:lastRenderedPageBreak/>
        <w:t xml:space="preserve">Yang, M. M., Li, T., &amp; Wang, Y. (2020). What explains the degree of internationalization of early-stage entrepreneurial firms? A multilevel study on the joint effects of entrepreneurial self-efficacy, opportunity-motivated entrepreneurship, and home-country institutions. </w:t>
      </w:r>
      <w:r w:rsidRPr="00AB25FC">
        <w:rPr>
          <w:i/>
          <w:lang w:val="en-US"/>
        </w:rPr>
        <w:t>Journal of World Business, 55</w:t>
      </w:r>
      <w:r w:rsidRPr="00AB25FC">
        <w:rPr>
          <w:lang w:val="en-US"/>
        </w:rPr>
        <w:t>(6), 101114. http://dx.doi.org/10.1016/j.jwb.2020.101114</w:t>
      </w:r>
    </w:p>
    <w:p w:rsidR="00D03F78" w:rsidRPr="00AB25FC" w:rsidRDefault="002D2A13">
      <w:pPr>
        <w:ind w:left="709" w:hanging="720"/>
        <w:rPr>
          <w:lang w:val="en-US"/>
        </w:rPr>
      </w:pPr>
      <w:r>
        <w:rPr>
          <w:lang w:val="en-US"/>
        </w:rPr>
        <w:t>Yan, Y., &amp; Guan, J. (2018</w:t>
      </w:r>
      <w:r w:rsidR="00AB25FC" w:rsidRPr="00AB25FC">
        <w:rPr>
          <w:lang w:val="en-US"/>
        </w:rPr>
        <w:t xml:space="preserve">). Entrepreneurial ecosystem, entrepreneurial rate and innovation: the moderating role of internet attention. </w:t>
      </w:r>
      <w:r w:rsidR="00AB25FC" w:rsidRPr="00AB25FC">
        <w:rPr>
          <w:i/>
          <w:lang w:val="en-US"/>
        </w:rPr>
        <w:t>International Entrepreneurship and Management Journal, 15</w:t>
      </w:r>
      <w:r w:rsidR="00AB25FC" w:rsidRPr="00AB25FC">
        <w:rPr>
          <w:lang w:val="en-US"/>
        </w:rPr>
        <w:t>(2), 625-650. http://dx.doi.org/10.1007/s11365-018-0493-8</w:t>
      </w:r>
    </w:p>
    <w:p w:rsidR="00D03F78" w:rsidRPr="00AB25FC" w:rsidRDefault="00AB25FC">
      <w:pPr>
        <w:ind w:left="709" w:hanging="720"/>
        <w:rPr>
          <w:lang w:val="en-US"/>
        </w:rPr>
      </w:pPr>
      <w:r>
        <w:t xml:space="preserve">Yin, C., </w:t>
      </w:r>
      <w:proofErr w:type="spellStart"/>
      <w:r>
        <w:t>Salmador</w:t>
      </w:r>
      <w:proofErr w:type="spellEnd"/>
      <w:r>
        <w:t>, M.P</w:t>
      </w:r>
      <w:r w:rsidR="002D2A13">
        <w:t xml:space="preserve">., Li, D., &amp; </w:t>
      </w:r>
      <w:proofErr w:type="spellStart"/>
      <w:r w:rsidR="002D2A13">
        <w:t>Lloria</w:t>
      </w:r>
      <w:proofErr w:type="spellEnd"/>
      <w:r w:rsidR="002D2A13">
        <w:t>, M. B. (2021</w:t>
      </w:r>
      <w:r>
        <w:t xml:space="preserve">). </w:t>
      </w:r>
      <w:r w:rsidRPr="00AB25FC">
        <w:rPr>
          <w:lang w:val="en-US"/>
        </w:rPr>
        <w:t xml:space="preserve">Green entrepreneurship and SME performance: The moderating effect of firm age. </w:t>
      </w:r>
      <w:r w:rsidRPr="00AB25FC">
        <w:rPr>
          <w:i/>
          <w:lang w:val="en-US"/>
        </w:rPr>
        <w:t>International Entrepreneurship and Management Journal, 18</w:t>
      </w:r>
      <w:r w:rsidRPr="00AB25FC">
        <w:rPr>
          <w:lang w:val="en-US"/>
        </w:rPr>
        <w:t>(1), 255-275. http://dx.doi.org/10.1007/s11365-021-00757-3</w:t>
      </w:r>
    </w:p>
    <w:p w:rsidR="00D03F78" w:rsidRPr="00AB25FC" w:rsidRDefault="00AB25FC">
      <w:pPr>
        <w:ind w:left="709" w:hanging="720"/>
        <w:rPr>
          <w:lang w:val="en-US"/>
        </w:rPr>
      </w:pPr>
      <w:r w:rsidRPr="00AB25FC">
        <w:rPr>
          <w:lang w:val="en-US"/>
        </w:rPr>
        <w:t>Young, S. L.</w:t>
      </w:r>
      <w:r w:rsidR="00EB5389">
        <w:rPr>
          <w:lang w:val="en-US"/>
        </w:rPr>
        <w:t>, Welter, C., &amp; Conger, M. (2017</w:t>
      </w:r>
      <w:r w:rsidRPr="00AB25FC">
        <w:rPr>
          <w:lang w:val="en-US"/>
        </w:rPr>
        <w:t xml:space="preserve">). Stability vs. flexibility: The effect of regulatory institutions on opportunity type. </w:t>
      </w:r>
      <w:r w:rsidRPr="00AB25FC">
        <w:rPr>
          <w:i/>
          <w:lang w:val="en-US"/>
        </w:rPr>
        <w:t>Journal of International Business Studies, 49,</w:t>
      </w:r>
      <w:r w:rsidRPr="00AB25FC">
        <w:rPr>
          <w:lang w:val="en-US"/>
        </w:rPr>
        <w:t xml:space="preserve"> 407-441. http://dx.doi.org/10.1057/s41267-017-0095-7</w:t>
      </w:r>
    </w:p>
    <w:p w:rsidR="00D03F78" w:rsidRPr="00AB25FC" w:rsidRDefault="00AB25FC">
      <w:pPr>
        <w:ind w:left="709" w:hanging="720"/>
        <w:rPr>
          <w:lang w:val="en-US"/>
        </w:rPr>
      </w:pPr>
      <w:proofErr w:type="spellStart"/>
      <w:r w:rsidRPr="00AB25FC">
        <w:rPr>
          <w:lang w:val="en-US"/>
        </w:rPr>
        <w:t>Zayadin</w:t>
      </w:r>
      <w:proofErr w:type="spellEnd"/>
      <w:r w:rsidRPr="00AB25FC">
        <w:rPr>
          <w:lang w:val="en-US"/>
        </w:rPr>
        <w:t xml:space="preserve">, R., </w:t>
      </w:r>
      <w:proofErr w:type="spellStart"/>
      <w:r w:rsidRPr="00AB25FC">
        <w:rPr>
          <w:lang w:val="en-US"/>
        </w:rPr>
        <w:t>Zucchella</w:t>
      </w:r>
      <w:proofErr w:type="spellEnd"/>
      <w:r w:rsidRPr="00AB25FC">
        <w:rPr>
          <w:lang w:val="en-US"/>
        </w:rPr>
        <w:t xml:space="preserve">, A., Ameen, N., &amp; Duckworth, C. (2020). Entrepreneurs </w:t>
      </w:r>
      <w:proofErr w:type="spellStart"/>
      <w:r w:rsidRPr="00AB25FC">
        <w:rPr>
          <w:lang w:val="en-US"/>
        </w:rPr>
        <w:t>contextualisation</w:t>
      </w:r>
      <w:proofErr w:type="spellEnd"/>
      <w:r w:rsidRPr="00AB25FC">
        <w:rPr>
          <w:lang w:val="en-US"/>
        </w:rPr>
        <w:t xml:space="preserve"> of culture in a national setting. </w:t>
      </w:r>
      <w:r w:rsidRPr="00AB25FC">
        <w:rPr>
          <w:i/>
          <w:lang w:val="en-US"/>
        </w:rPr>
        <w:t>International Journal of Entrepreneurial Behavior &amp; Research, 26</w:t>
      </w:r>
      <w:r w:rsidRPr="00AB25FC">
        <w:rPr>
          <w:lang w:val="en-US"/>
        </w:rPr>
        <w:t>(8), 1661-1683. http://dx.doi.org/10.1108/IJEBR-05-2020-0281</w:t>
      </w:r>
    </w:p>
    <w:p w:rsidR="00D03F78" w:rsidRPr="00AB25FC" w:rsidRDefault="00AB25FC">
      <w:pPr>
        <w:ind w:left="709" w:hanging="720"/>
        <w:rPr>
          <w:lang w:val="en-US"/>
        </w:rPr>
      </w:pPr>
      <w:r w:rsidRPr="00AB25FC">
        <w:rPr>
          <w:lang w:val="en-US"/>
        </w:rPr>
        <w:t xml:space="preserve">Zhang, Y., Yuan, C., &amp; Zhang, S. (2022). Influences of university-industry alliance portfolio depth and breadth on growth of new technology-based firms: Evidence from China. </w:t>
      </w:r>
      <w:r w:rsidRPr="00AB25FC">
        <w:rPr>
          <w:i/>
          <w:lang w:val="en-US"/>
        </w:rPr>
        <w:t>Industrial Marketing Management, 102,</w:t>
      </w:r>
      <w:r w:rsidRPr="00AB25FC">
        <w:rPr>
          <w:lang w:val="en-US"/>
        </w:rPr>
        <w:t xml:space="preserve"> 190-204. </w:t>
      </w:r>
      <w:hyperlink r:id="rId20">
        <w:r w:rsidRPr="00AB25FC">
          <w:rPr>
            <w:color w:val="000000"/>
            <w:lang w:val="en-US"/>
          </w:rPr>
          <w:t>http://dx.doi.org/10.1016/j.indmarman.2022.01.018</w:t>
        </w:r>
      </w:hyperlink>
    </w:p>
    <w:p w:rsidR="00D03F78" w:rsidRPr="00AB25FC" w:rsidRDefault="00AB25FC">
      <w:pPr>
        <w:ind w:firstLine="0"/>
        <w:rPr>
          <w:b/>
          <w:lang w:val="en-US"/>
        </w:rPr>
      </w:pPr>
      <w:proofErr w:type="spellStart"/>
      <w:r w:rsidRPr="00AB25FC">
        <w:rPr>
          <w:b/>
          <w:lang w:val="en-US"/>
        </w:rPr>
        <w:t>Presentado</w:t>
      </w:r>
      <w:proofErr w:type="spellEnd"/>
      <w:r w:rsidRPr="00AB25FC">
        <w:rPr>
          <w:b/>
          <w:lang w:val="en-US"/>
        </w:rPr>
        <w:t xml:space="preserve">: </w:t>
      </w:r>
      <w:r w:rsidRPr="00AB25FC">
        <w:rPr>
          <w:lang w:val="en-US"/>
        </w:rPr>
        <w:t>15/8/2023</w:t>
      </w:r>
    </w:p>
    <w:p w:rsidR="00D03F78" w:rsidRDefault="00AB25FC">
      <w:pPr>
        <w:ind w:firstLine="0"/>
        <w:rPr>
          <w:b/>
        </w:rPr>
      </w:pPr>
      <w:bookmarkStart w:id="5" w:name="_heading=h.2et92p0" w:colFirst="0" w:colLast="0"/>
      <w:bookmarkEnd w:id="5"/>
      <w:r>
        <w:rPr>
          <w:b/>
        </w:rPr>
        <w:t xml:space="preserve">Aceptado: </w:t>
      </w:r>
      <w:r>
        <w:t>23/7/2024</w:t>
      </w:r>
    </w:p>
    <w:p w:rsidR="00D03F78" w:rsidRDefault="00D03F78">
      <w:pPr>
        <w:ind w:firstLine="0"/>
      </w:pPr>
    </w:p>
    <w:sectPr w:rsidR="00D03F78">
      <w:pgSz w:w="11906" w:h="16838"/>
      <w:pgMar w:top="1418" w:right="1418" w:bottom="1418"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78"/>
    <w:rsid w:val="0007109D"/>
    <w:rsid w:val="002569D0"/>
    <w:rsid w:val="002D2A13"/>
    <w:rsid w:val="003700A3"/>
    <w:rsid w:val="005352C8"/>
    <w:rsid w:val="005B5C38"/>
    <w:rsid w:val="006D25E5"/>
    <w:rsid w:val="008373F3"/>
    <w:rsid w:val="009D1FA2"/>
    <w:rsid w:val="00A83D73"/>
    <w:rsid w:val="00AB25FC"/>
    <w:rsid w:val="00D03F78"/>
    <w:rsid w:val="00EB5389"/>
    <w:rsid w:val="00F032C1"/>
    <w:rsid w:val="00FB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F374E"/>
  <w15:docId w15:val="{944187B1-6DA6-4EB9-A589-74B764D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E" w:eastAsia="en-US" w:bidi="ar-SA"/>
      </w:rPr>
    </w:rPrDefault>
    <w:pPrDefault>
      <w:pPr>
        <w:spacing w:after="12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4B"/>
  </w:style>
  <w:style w:type="paragraph" w:styleId="Ttulo1">
    <w:name w:val="heading 1"/>
    <w:basedOn w:val="Normal"/>
    <w:next w:val="Normal"/>
    <w:link w:val="Ttulo1Car"/>
    <w:uiPriority w:val="9"/>
    <w:qFormat/>
    <w:rsid w:val="001C470A"/>
    <w:pPr>
      <w:keepNext/>
      <w:keepLines/>
      <w:ind w:firstLine="0"/>
      <w:jc w:val="left"/>
      <w:outlineLvl w:val="0"/>
    </w:pPr>
    <w:rPr>
      <w:b/>
      <w:sz w:val="28"/>
      <w:szCs w:val="48"/>
    </w:rPr>
  </w:style>
  <w:style w:type="paragraph" w:styleId="Ttulo2">
    <w:name w:val="heading 2"/>
    <w:basedOn w:val="Normal"/>
    <w:next w:val="Normal"/>
    <w:uiPriority w:val="9"/>
    <w:unhideWhenUsed/>
    <w:qFormat/>
    <w:rsid w:val="00376D7A"/>
    <w:pPr>
      <w:keepNext/>
      <w:keepLines/>
      <w:ind w:firstLine="0"/>
      <w:outlineLvl w:val="1"/>
    </w:pPr>
    <w:rPr>
      <w:b/>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105B6C"/>
    <w:rPr>
      <w:color w:val="0563C1" w:themeColor="hyperlink"/>
      <w:u w:val="single"/>
    </w:rPr>
  </w:style>
  <w:style w:type="character" w:customStyle="1" w:styleId="UnresolvedMention">
    <w:name w:val="Unresolved Mention"/>
    <w:basedOn w:val="Fuentedeprrafopredeter"/>
    <w:uiPriority w:val="99"/>
    <w:semiHidden/>
    <w:unhideWhenUsed/>
    <w:rsid w:val="00105B6C"/>
    <w:rPr>
      <w:color w:val="605E5C"/>
      <w:shd w:val="clear" w:color="auto" w:fill="E1DFDD"/>
    </w:rPr>
  </w:style>
  <w:style w:type="paragraph" w:styleId="Textonotapie">
    <w:name w:val="footnote text"/>
    <w:basedOn w:val="Normal"/>
    <w:link w:val="TextonotapieCar"/>
    <w:uiPriority w:val="99"/>
    <w:semiHidden/>
    <w:unhideWhenUsed/>
    <w:rsid w:val="00105B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5B6C"/>
    <w:rPr>
      <w:sz w:val="20"/>
      <w:szCs w:val="20"/>
    </w:rPr>
  </w:style>
  <w:style w:type="character" w:styleId="Refdenotaalpie">
    <w:name w:val="footnote reference"/>
    <w:basedOn w:val="Fuentedeprrafopredeter"/>
    <w:uiPriority w:val="99"/>
    <w:semiHidden/>
    <w:unhideWhenUsed/>
    <w:rsid w:val="00105B6C"/>
    <w:rPr>
      <w:vertAlign w:val="superscript"/>
    </w:rPr>
  </w:style>
  <w:style w:type="table" w:styleId="Tabladecuadrcula5oscura-nfasis2">
    <w:name w:val="Grid Table 5 Dark Accent 2"/>
    <w:basedOn w:val="Tablanormal"/>
    <w:uiPriority w:val="50"/>
    <w:rsid w:val="009028E7"/>
    <w:pPr>
      <w:spacing w:after="0" w:line="240" w:lineRule="auto"/>
    </w:pPr>
    <w:rPr>
      <w:rFonts w:asciiTheme="minorHAnsi" w:eastAsiaTheme="minorHAnsi" w:hAnsiTheme="minorHAnsi" w:cstheme="minorBidi"/>
      <w:kern w:val="2"/>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normal5">
    <w:name w:val="Plain Table 5"/>
    <w:basedOn w:val="Tablanormal"/>
    <w:uiPriority w:val="45"/>
    <w:rsid w:val="009028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9028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1D302D"/>
    <w:pPr>
      <w:spacing w:after="0" w:line="240" w:lineRule="auto"/>
    </w:pPr>
    <w:rPr>
      <w:rFonts w:asciiTheme="minorHAnsi" w:eastAsiaTheme="minorHAnsi" w:hAnsiTheme="minorHAnsi" w:cstheme="minorBidi"/>
      <w:kern w:val="2"/>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3">
    <w:name w:val="List Table 6 Colorful Accent 3"/>
    <w:basedOn w:val="Tablanormal"/>
    <w:uiPriority w:val="51"/>
    <w:rsid w:val="001D302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1D302D"/>
    <w:pPr>
      <w:spacing w:after="0" w:line="240" w:lineRule="auto"/>
    </w:pPr>
    <w:rPr>
      <w:rFonts w:asciiTheme="minorHAnsi" w:eastAsiaTheme="minorHAnsi" w:hAnsiTheme="minorHAnsi" w:cstheme="minorBidi"/>
      <w:kern w:val="2"/>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1D302D"/>
    <w:pPr>
      <w:spacing w:after="0" w:line="240" w:lineRule="auto"/>
    </w:pPr>
    <w:rPr>
      <w:rFonts w:asciiTheme="minorHAnsi" w:eastAsiaTheme="minorHAnsi" w:hAnsiTheme="minorHAnsi" w:cstheme="minorBidi"/>
      <w:kern w:val="2"/>
      <w:lang w:val="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react-xocs-alternative-link">
    <w:name w:val="react-xocs-alternative-link"/>
    <w:basedOn w:val="Fuentedeprrafopredeter"/>
    <w:rsid w:val="005C06D8"/>
  </w:style>
  <w:style w:type="character" w:customStyle="1" w:styleId="given-name">
    <w:name w:val="given-name"/>
    <w:basedOn w:val="Fuentedeprrafopredeter"/>
    <w:rsid w:val="005C06D8"/>
  </w:style>
  <w:style w:type="character" w:customStyle="1" w:styleId="text">
    <w:name w:val="text"/>
    <w:basedOn w:val="Fuentedeprrafopredeter"/>
    <w:rsid w:val="005C06D8"/>
  </w:style>
  <w:style w:type="paragraph" w:styleId="Prrafodelista">
    <w:name w:val="List Paragraph"/>
    <w:basedOn w:val="Normal"/>
    <w:uiPriority w:val="34"/>
    <w:qFormat/>
    <w:rsid w:val="005C06D8"/>
    <w:pPr>
      <w:ind w:left="720"/>
      <w:contextualSpacing/>
    </w:pPr>
  </w:style>
  <w:style w:type="paragraph" w:styleId="Encabezado">
    <w:name w:val="header"/>
    <w:basedOn w:val="Normal"/>
    <w:link w:val="EncabezadoCar"/>
    <w:uiPriority w:val="99"/>
    <w:unhideWhenUsed/>
    <w:rsid w:val="00724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4C4"/>
  </w:style>
  <w:style w:type="paragraph" w:styleId="Piedepgina">
    <w:name w:val="footer"/>
    <w:basedOn w:val="Normal"/>
    <w:link w:val="PiedepginaCar"/>
    <w:uiPriority w:val="99"/>
    <w:unhideWhenUsed/>
    <w:rsid w:val="00724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4C4"/>
  </w:style>
  <w:style w:type="character" w:styleId="Hipervnculovisitado">
    <w:name w:val="FollowedHyperlink"/>
    <w:basedOn w:val="Fuentedeprrafopredeter"/>
    <w:uiPriority w:val="99"/>
    <w:semiHidden/>
    <w:unhideWhenUsed/>
    <w:rsid w:val="009A0849"/>
    <w:rPr>
      <w:color w:val="954F72" w:themeColor="followedHyperlink"/>
      <w:u w:val="single"/>
    </w:rPr>
  </w:style>
  <w:style w:type="character" w:customStyle="1" w:styleId="anchor-text">
    <w:name w:val="anchor-text"/>
    <w:basedOn w:val="Fuentedeprrafopredeter"/>
    <w:rsid w:val="003D3084"/>
  </w:style>
  <w:style w:type="numbering" w:customStyle="1" w:styleId="Sinlista1">
    <w:name w:val="Sin lista1"/>
    <w:next w:val="Sinlista"/>
    <w:uiPriority w:val="99"/>
    <w:semiHidden/>
    <w:unhideWhenUsed/>
    <w:rsid w:val="00C1118A"/>
  </w:style>
  <w:style w:type="character" w:customStyle="1" w:styleId="Ttulo3Car">
    <w:name w:val="Título 3 Car"/>
    <w:basedOn w:val="Fuentedeprrafopredeter"/>
    <w:link w:val="Ttulo3"/>
    <w:uiPriority w:val="9"/>
    <w:rsid w:val="00C1118A"/>
    <w:rPr>
      <w:rFonts w:ascii="Times New Roman" w:hAnsi="Times New Roman"/>
      <w:b/>
      <w:sz w:val="28"/>
      <w:szCs w:val="28"/>
    </w:rPr>
  </w:style>
  <w:style w:type="character" w:customStyle="1" w:styleId="Ttulo1Car">
    <w:name w:val="Título 1 Car"/>
    <w:basedOn w:val="Fuentedeprrafopredeter"/>
    <w:link w:val="Ttulo1"/>
    <w:uiPriority w:val="9"/>
    <w:rsid w:val="001C470A"/>
    <w:rPr>
      <w:rFonts w:ascii="Times New Roman" w:hAnsi="Times New Roman"/>
      <w:b/>
      <w:sz w:val="28"/>
      <w:szCs w:val="48"/>
    </w:rPr>
  </w:style>
  <w:style w:type="paragraph" w:styleId="Asuntodelcomentario">
    <w:name w:val="annotation subject"/>
    <w:basedOn w:val="Textocomentario"/>
    <w:next w:val="Textocomentario"/>
    <w:link w:val="AsuntodelcomentarioCar"/>
    <w:uiPriority w:val="99"/>
    <w:semiHidden/>
    <w:unhideWhenUsed/>
    <w:rsid w:val="00C1118A"/>
    <w:pPr>
      <w:spacing w:after="0"/>
      <w:ind w:firstLine="0"/>
      <w:jc w:val="left"/>
    </w:pPr>
    <w:rPr>
      <w:rFonts w:ascii="Calibri" w:hAnsi="Calibri"/>
      <w:b/>
      <w:bCs/>
      <w:lang w:val="es-CO"/>
    </w:rPr>
  </w:style>
  <w:style w:type="character" w:customStyle="1" w:styleId="AsuntodelcomentarioCar">
    <w:name w:val="Asunto del comentario Car"/>
    <w:basedOn w:val="TextocomentarioCar"/>
    <w:link w:val="Asuntodelcomentario"/>
    <w:uiPriority w:val="99"/>
    <w:semiHidden/>
    <w:rsid w:val="00C1118A"/>
    <w:rPr>
      <w:rFonts w:cs="Times New Roman"/>
      <w:b/>
      <w:bCs/>
      <w:sz w:val="20"/>
      <w:szCs w:val="20"/>
      <w:lang w:val="es-CO" w:eastAsia="en-US"/>
    </w:rPr>
  </w:style>
  <w:style w:type="paragraph" w:styleId="Revisin">
    <w:name w:val="Revision"/>
    <w:hidden/>
    <w:uiPriority w:val="99"/>
    <w:semiHidden/>
    <w:rsid w:val="00C1118A"/>
    <w:pPr>
      <w:spacing w:after="0" w:line="240" w:lineRule="auto"/>
    </w:pPr>
    <w:rPr>
      <w:lang w:val="es-CO"/>
    </w:rPr>
  </w:style>
  <w:style w:type="character" w:styleId="Nmerodepgina">
    <w:name w:val="page number"/>
    <w:basedOn w:val="Fuentedeprrafopredeter"/>
    <w:uiPriority w:val="99"/>
    <w:semiHidden/>
    <w:unhideWhenUsed/>
    <w:rsid w:val="00C1118A"/>
  </w:style>
  <w:style w:type="table" w:styleId="Tablaconcuadrcula">
    <w:name w:val="Table Grid"/>
    <w:basedOn w:val="Tablanormal"/>
    <w:uiPriority w:val="39"/>
    <w:rsid w:val="00C1118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118A"/>
    <w:rPr>
      <w:color w:val="605E5C"/>
      <w:shd w:val="clear" w:color="auto" w:fill="E1DFDD"/>
    </w:rPr>
  </w:style>
  <w:style w:type="paragraph" w:styleId="Textodeglobo">
    <w:name w:val="Balloon Text"/>
    <w:basedOn w:val="Normal"/>
    <w:link w:val="TextodegloboCar"/>
    <w:uiPriority w:val="99"/>
    <w:semiHidden/>
    <w:unhideWhenUsed/>
    <w:rsid w:val="00C1118A"/>
    <w:pPr>
      <w:spacing w:after="0" w:line="240" w:lineRule="auto"/>
      <w:ind w:firstLine="0"/>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18A"/>
    <w:rPr>
      <w:rFonts w:ascii="Segoe UI" w:hAnsi="Segoe UI" w:cs="Segoe UI"/>
      <w:sz w:val="18"/>
      <w:szCs w:val="18"/>
      <w:lang w:eastAsia="en-US"/>
    </w:r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dx.doi.org/10.1016/j.jbusres.2022.03.0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uan.mosquera07@unicatolica.edu.co" TargetMode="External"/><Relationship Id="rId12" Type="http://schemas.openxmlformats.org/officeDocument/2006/relationships/chart" Target="charts/chart4.xm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dx.doi.org/10.1016/j.indmarman.2022.01.018" TargetMode="External"/><Relationship Id="rId1" Type="http://schemas.openxmlformats.org/officeDocument/2006/relationships/customXml" Target="../customXml/item1.xml"/><Relationship Id="rId6" Type="http://schemas.openxmlformats.org/officeDocument/2006/relationships/hyperlink" Target="mailto:dyordoneza@unicatolica.edu.co" TargetMode="External"/><Relationship Id="rId11" Type="http://schemas.openxmlformats.org/officeDocument/2006/relationships/chart" Target="charts/chart3.xml"/><Relationship Id="rId5" Type="http://schemas.openxmlformats.org/officeDocument/2006/relationships/hyperlink" Target="https://orcid.org/0000-0001-6329-8172" TargetMode="External"/><Relationship Id="rId15" Type="http://schemas.openxmlformats.org/officeDocument/2006/relationships/image" Target="media/image2.jpg"/><Relationship Id="rId10" Type="http://schemas.openxmlformats.org/officeDocument/2006/relationships/chart" Target="charts/chart2.xml"/><Relationship Id="rId19" Type="http://schemas.openxmlformats.org/officeDocument/2006/relationships/hyperlink" Target="http://dx.doi.org/10.1016/j.techfore.2019.01.01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iwad\Downloads\PROYECTO%20GEM%20-%20SEMILLERO.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Año!$E$4:$E$8</c:f>
              <c:numCache>
                <c:formatCode>General</c:formatCode>
                <c:ptCount val="5"/>
                <c:pt idx="0">
                  <c:v>2018</c:v>
                </c:pt>
                <c:pt idx="1">
                  <c:v>2019</c:v>
                </c:pt>
                <c:pt idx="2">
                  <c:v>2020</c:v>
                </c:pt>
                <c:pt idx="3">
                  <c:v>2021</c:v>
                </c:pt>
                <c:pt idx="4">
                  <c:v>2022</c:v>
                </c:pt>
              </c:numCache>
            </c:numRef>
          </c:cat>
          <c:val>
            <c:numRef>
              <c:f>Año!$F$4:$F$8</c:f>
              <c:numCache>
                <c:formatCode>General</c:formatCode>
                <c:ptCount val="5"/>
                <c:pt idx="0">
                  <c:v>8</c:v>
                </c:pt>
                <c:pt idx="1">
                  <c:v>15</c:v>
                </c:pt>
                <c:pt idx="2">
                  <c:v>24</c:v>
                </c:pt>
                <c:pt idx="3">
                  <c:v>14</c:v>
                </c:pt>
                <c:pt idx="4">
                  <c:v>17</c:v>
                </c:pt>
              </c:numCache>
            </c:numRef>
          </c:val>
          <c:smooth val="0"/>
          <c:extLst>
            <c:ext xmlns:c16="http://schemas.microsoft.com/office/drawing/2014/chart" uri="{C3380CC4-5D6E-409C-BE32-E72D297353CC}">
              <c16:uniqueId val="{00000000-884F-41E8-987C-0E26623BD78E}"/>
            </c:ext>
          </c:extLst>
        </c:ser>
        <c:dLbls>
          <c:dLblPos val="t"/>
          <c:showLegendKey val="0"/>
          <c:showVal val="1"/>
          <c:showCatName val="0"/>
          <c:showSerName val="0"/>
          <c:showPercent val="0"/>
          <c:showBubbleSize val="0"/>
        </c:dLbls>
        <c:smooth val="0"/>
        <c:axId val="95009568"/>
        <c:axId val="95001888"/>
      </c:lineChart>
      <c:catAx>
        <c:axId val="950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001888"/>
        <c:crosses val="autoZero"/>
        <c:auto val="1"/>
        <c:lblAlgn val="ctr"/>
        <c:lblOffset val="100"/>
        <c:noMultiLvlLbl val="0"/>
      </c:catAx>
      <c:valAx>
        <c:axId val="9500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00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Latinoamerica</a:t>
            </a:r>
            <a:r>
              <a:rPr lang="es-CO" baseline="0"/>
              <a:t>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Hoja3!$I$4:$I$15</c:f>
              <c:strCache>
                <c:ptCount val="12"/>
                <c:pt idx="0">
                  <c:v>Chile</c:v>
                </c:pt>
                <c:pt idx="1">
                  <c:v>Brasil</c:v>
                </c:pt>
                <c:pt idx="2">
                  <c:v>Colombia</c:v>
                </c:pt>
                <c:pt idx="3">
                  <c:v>Panamá</c:v>
                </c:pt>
                <c:pt idx="4">
                  <c:v>México</c:v>
                </c:pt>
                <c:pt idx="5">
                  <c:v> Uruguay</c:v>
                </c:pt>
                <c:pt idx="6">
                  <c:v>Argentina</c:v>
                </c:pt>
                <c:pt idx="7">
                  <c:v>Perú</c:v>
                </c:pt>
                <c:pt idx="8">
                  <c:v>Guatemala</c:v>
                </c:pt>
                <c:pt idx="9">
                  <c:v>Ecuador </c:v>
                </c:pt>
                <c:pt idx="10">
                  <c:v>Barbados</c:v>
                </c:pt>
                <c:pt idx="11">
                  <c:v>Jamaica</c:v>
                </c:pt>
              </c:strCache>
            </c:strRef>
          </c:cat>
          <c:val>
            <c:numRef>
              <c:f>Hoja3!$J$4:$J$15</c:f>
              <c:numCache>
                <c:formatCode>General</c:formatCode>
                <c:ptCount val="12"/>
                <c:pt idx="0">
                  <c:v>54</c:v>
                </c:pt>
                <c:pt idx="1">
                  <c:v>53</c:v>
                </c:pt>
                <c:pt idx="2">
                  <c:v>51</c:v>
                </c:pt>
                <c:pt idx="3">
                  <c:v>50</c:v>
                </c:pt>
                <c:pt idx="4">
                  <c:v>48</c:v>
                </c:pt>
                <c:pt idx="5">
                  <c:v>48</c:v>
                </c:pt>
                <c:pt idx="6">
                  <c:v>47</c:v>
                </c:pt>
                <c:pt idx="7">
                  <c:v>47</c:v>
                </c:pt>
                <c:pt idx="8">
                  <c:v>42</c:v>
                </c:pt>
                <c:pt idx="9">
                  <c:v>40</c:v>
                </c:pt>
                <c:pt idx="10">
                  <c:v>32</c:v>
                </c:pt>
                <c:pt idx="11">
                  <c:v>17</c:v>
                </c:pt>
              </c:numCache>
            </c:numRef>
          </c:val>
          <c:extLst>
            <c:ext xmlns:c16="http://schemas.microsoft.com/office/drawing/2014/chart" uri="{C3380CC4-5D6E-409C-BE32-E72D297353CC}">
              <c16:uniqueId val="{00000000-6784-4DD2-9035-87562653F265}"/>
            </c:ext>
          </c:extLst>
        </c:ser>
        <c:dLbls>
          <c:dLblPos val="outEnd"/>
          <c:showLegendKey val="0"/>
          <c:showVal val="1"/>
          <c:showCatName val="0"/>
          <c:showSerName val="0"/>
          <c:showPercent val="0"/>
          <c:showBubbleSize val="0"/>
        </c:dLbls>
        <c:gapWidth val="219"/>
        <c:overlap val="-27"/>
        <c:axId val="178757392"/>
        <c:axId val="178760272"/>
      </c:barChart>
      <c:catAx>
        <c:axId val="17875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60272"/>
        <c:crosses val="autoZero"/>
        <c:auto val="1"/>
        <c:lblAlgn val="ctr"/>
        <c:lblOffset val="100"/>
        <c:noMultiLvlLbl val="0"/>
      </c:catAx>
      <c:valAx>
        <c:axId val="178760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57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Europa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Hoja3!$L$4:$L$15</c:f>
              <c:strCache>
                <c:ptCount val="12"/>
                <c:pt idx="0">
                  <c:v>Reino Unido</c:v>
                </c:pt>
                <c:pt idx="1">
                  <c:v>Alemania </c:v>
                </c:pt>
                <c:pt idx="2">
                  <c:v>España </c:v>
                </c:pt>
                <c:pt idx="3">
                  <c:v>Eslovenia</c:v>
                </c:pt>
                <c:pt idx="4">
                  <c:v>Italia</c:v>
                </c:pt>
                <c:pt idx="5">
                  <c:v>Grecia</c:v>
                </c:pt>
                <c:pt idx="6">
                  <c:v>Croacia</c:v>
                </c:pt>
                <c:pt idx="7">
                  <c:v>Holanda</c:v>
                </c:pt>
                <c:pt idx="8">
                  <c:v>Polonia</c:v>
                </c:pt>
                <c:pt idx="9">
                  <c:v>Eslovaquia </c:v>
                </c:pt>
                <c:pt idx="10">
                  <c:v>Suiza</c:v>
                </c:pt>
                <c:pt idx="11">
                  <c:v>Irlanda</c:v>
                </c:pt>
              </c:strCache>
            </c:strRef>
          </c:cat>
          <c:val>
            <c:numRef>
              <c:f>Hoja3!$M$4:$M$15</c:f>
              <c:numCache>
                <c:formatCode>General</c:formatCode>
                <c:ptCount val="12"/>
                <c:pt idx="0">
                  <c:v>58</c:v>
                </c:pt>
                <c:pt idx="1">
                  <c:v>58</c:v>
                </c:pt>
                <c:pt idx="2">
                  <c:v>55</c:v>
                </c:pt>
                <c:pt idx="3">
                  <c:v>54</c:v>
                </c:pt>
                <c:pt idx="4">
                  <c:v>53</c:v>
                </c:pt>
                <c:pt idx="5">
                  <c:v>53</c:v>
                </c:pt>
                <c:pt idx="6">
                  <c:v>53</c:v>
                </c:pt>
                <c:pt idx="7">
                  <c:v>50</c:v>
                </c:pt>
                <c:pt idx="8">
                  <c:v>50</c:v>
                </c:pt>
                <c:pt idx="9">
                  <c:v>50</c:v>
                </c:pt>
                <c:pt idx="10">
                  <c:v>50</c:v>
                </c:pt>
                <c:pt idx="11">
                  <c:v>50</c:v>
                </c:pt>
              </c:numCache>
            </c:numRef>
          </c:val>
          <c:extLst>
            <c:ext xmlns:c16="http://schemas.microsoft.com/office/drawing/2014/chart" uri="{C3380CC4-5D6E-409C-BE32-E72D297353CC}">
              <c16:uniqueId val="{00000000-4746-423D-A025-BFF3041798C1}"/>
            </c:ext>
          </c:extLst>
        </c:ser>
        <c:dLbls>
          <c:dLblPos val="outEnd"/>
          <c:showLegendKey val="0"/>
          <c:showVal val="1"/>
          <c:showCatName val="0"/>
          <c:showSerName val="0"/>
          <c:showPercent val="0"/>
          <c:showBubbleSize val="0"/>
        </c:dLbls>
        <c:gapWidth val="219"/>
        <c:overlap val="-27"/>
        <c:axId val="178759792"/>
        <c:axId val="178758352"/>
      </c:barChart>
      <c:catAx>
        <c:axId val="17875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58352"/>
        <c:crosses val="autoZero"/>
        <c:auto val="1"/>
        <c:lblAlgn val="ctr"/>
        <c:lblOffset val="100"/>
        <c:noMultiLvlLbl val="0"/>
      </c:catAx>
      <c:valAx>
        <c:axId val="178758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59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Asia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Hoja3!$L$19:$L$30</c:f>
              <c:strCache>
                <c:ptCount val="12"/>
                <c:pt idx="0">
                  <c:v>China </c:v>
                </c:pt>
                <c:pt idx="1">
                  <c:v>Japón </c:v>
                </c:pt>
                <c:pt idx="2">
                  <c:v>Taiwán </c:v>
                </c:pt>
                <c:pt idx="3">
                  <c:v>Tailândia</c:v>
                </c:pt>
                <c:pt idx="4">
                  <c:v>Israel </c:v>
                </c:pt>
                <c:pt idx="5">
                  <c:v>Irán </c:v>
                </c:pt>
                <c:pt idx="6">
                  <c:v>India </c:v>
                </c:pt>
                <c:pt idx="7">
                  <c:v>República de Corea </c:v>
                </c:pt>
                <c:pt idx="8">
                  <c:v>Malaysia </c:v>
                </c:pt>
                <c:pt idx="9">
                  <c:v>Indonésia</c:v>
                </c:pt>
                <c:pt idx="10">
                  <c:v>Kazakstán  </c:v>
                </c:pt>
                <c:pt idx="11">
                  <c:v>Filipinas</c:v>
                </c:pt>
              </c:strCache>
            </c:strRef>
          </c:cat>
          <c:val>
            <c:numRef>
              <c:f>Hoja3!$M$19:$M$30</c:f>
              <c:numCache>
                <c:formatCode>General</c:formatCode>
                <c:ptCount val="12"/>
                <c:pt idx="0">
                  <c:v>53</c:v>
                </c:pt>
                <c:pt idx="1">
                  <c:v>44</c:v>
                </c:pt>
                <c:pt idx="2">
                  <c:v>44</c:v>
                </c:pt>
                <c:pt idx="3">
                  <c:v>42</c:v>
                </c:pt>
                <c:pt idx="4">
                  <c:v>42</c:v>
                </c:pt>
                <c:pt idx="5">
                  <c:v>41</c:v>
                </c:pt>
                <c:pt idx="6">
                  <c:v>39</c:v>
                </c:pt>
                <c:pt idx="7">
                  <c:v>38</c:v>
                </c:pt>
                <c:pt idx="8">
                  <c:v>37</c:v>
                </c:pt>
                <c:pt idx="9">
                  <c:v>34</c:v>
                </c:pt>
                <c:pt idx="10">
                  <c:v>28</c:v>
                </c:pt>
                <c:pt idx="11">
                  <c:v>24</c:v>
                </c:pt>
              </c:numCache>
            </c:numRef>
          </c:val>
          <c:extLst>
            <c:ext xmlns:c16="http://schemas.microsoft.com/office/drawing/2014/chart" uri="{C3380CC4-5D6E-409C-BE32-E72D297353CC}">
              <c16:uniqueId val="{00000000-5E61-4F36-BF77-699F3DA0405C}"/>
            </c:ext>
          </c:extLst>
        </c:ser>
        <c:dLbls>
          <c:dLblPos val="outEnd"/>
          <c:showLegendKey val="0"/>
          <c:showVal val="1"/>
          <c:showCatName val="0"/>
          <c:showSerName val="0"/>
          <c:showPercent val="0"/>
          <c:showBubbleSize val="0"/>
        </c:dLbls>
        <c:gapWidth val="219"/>
        <c:overlap val="-27"/>
        <c:axId val="178739152"/>
        <c:axId val="178743952"/>
      </c:barChart>
      <c:catAx>
        <c:axId val="17873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43952"/>
        <c:crosses val="autoZero"/>
        <c:auto val="1"/>
        <c:lblAlgn val="ctr"/>
        <c:lblOffset val="100"/>
        <c:noMultiLvlLbl val="0"/>
      </c:catAx>
      <c:valAx>
        <c:axId val="178743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39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Africa</a:t>
            </a:r>
          </a:p>
        </c:rich>
      </c:tx>
      <c:layout>
        <c:manualLayout>
          <c:xMode val="edge"/>
          <c:yMode val="edge"/>
          <c:x val="0.7876810716386205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35881635196939"/>
          <c:y val="0.20605555555555555"/>
          <c:w val="0.83458878676954673"/>
          <c:h val="0.405291338582677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Hoja3!$I$19:$I$30</c:f>
              <c:strCache>
                <c:ptCount val="12"/>
                <c:pt idx="0">
                  <c:v>Sudafrica</c:v>
                </c:pt>
                <c:pt idx="1">
                  <c:v>Marruecos</c:v>
                </c:pt>
                <c:pt idx="2">
                  <c:v> Botswana</c:v>
                </c:pt>
                <c:pt idx="3">
                  <c:v>Angola</c:v>
                </c:pt>
                <c:pt idx="4">
                  <c:v>Uganda</c:v>
                </c:pt>
                <c:pt idx="5">
                  <c:v>Ghana </c:v>
                </c:pt>
                <c:pt idx="6">
                  <c:v>Malawi </c:v>
                </c:pt>
                <c:pt idx="7">
                  <c:v>Namíbia</c:v>
                </c:pt>
                <c:pt idx="8">
                  <c:v> Nigeria</c:v>
                </c:pt>
                <c:pt idx="9">
                  <c:v> Zâmbia</c:v>
                </c:pt>
                <c:pt idx="10">
                  <c:v>Camerún</c:v>
                </c:pt>
                <c:pt idx="11">
                  <c:v>Senegal </c:v>
                </c:pt>
              </c:strCache>
            </c:strRef>
          </c:cat>
          <c:val>
            <c:numRef>
              <c:f>Hoja3!$J$19:$J$30</c:f>
              <c:numCache>
                <c:formatCode>General</c:formatCode>
                <c:ptCount val="12"/>
                <c:pt idx="0">
                  <c:v>34</c:v>
                </c:pt>
                <c:pt idx="1">
                  <c:v>28</c:v>
                </c:pt>
                <c:pt idx="2">
                  <c:v>25</c:v>
                </c:pt>
                <c:pt idx="3">
                  <c:v>22</c:v>
                </c:pt>
                <c:pt idx="4">
                  <c:v>17</c:v>
                </c:pt>
                <c:pt idx="5">
                  <c:v>13</c:v>
                </c:pt>
                <c:pt idx="6">
                  <c:v>13</c:v>
                </c:pt>
                <c:pt idx="7">
                  <c:v>13</c:v>
                </c:pt>
                <c:pt idx="8">
                  <c:v>13</c:v>
                </c:pt>
                <c:pt idx="9">
                  <c:v>13</c:v>
                </c:pt>
                <c:pt idx="10">
                  <c:v>13</c:v>
                </c:pt>
                <c:pt idx="11">
                  <c:v>12</c:v>
                </c:pt>
              </c:numCache>
            </c:numRef>
          </c:val>
          <c:extLst>
            <c:ext xmlns:c16="http://schemas.microsoft.com/office/drawing/2014/chart" uri="{C3380CC4-5D6E-409C-BE32-E72D297353CC}">
              <c16:uniqueId val="{00000000-50B8-4D6F-ADA7-87EC40579203}"/>
            </c:ext>
          </c:extLst>
        </c:ser>
        <c:dLbls>
          <c:dLblPos val="outEnd"/>
          <c:showLegendKey val="0"/>
          <c:showVal val="1"/>
          <c:showCatName val="0"/>
          <c:showSerName val="0"/>
          <c:showPercent val="0"/>
          <c:showBubbleSize val="0"/>
        </c:dLbls>
        <c:gapWidth val="219"/>
        <c:overlap val="-27"/>
        <c:axId val="178766032"/>
        <c:axId val="178738672"/>
      </c:barChart>
      <c:catAx>
        <c:axId val="17876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38672"/>
        <c:crosses val="autoZero"/>
        <c:auto val="1"/>
        <c:lblAlgn val="ctr"/>
        <c:lblOffset val="100"/>
        <c:noMultiLvlLbl val="0"/>
      </c:catAx>
      <c:valAx>
        <c:axId val="178738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66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Norte</a:t>
            </a:r>
            <a:r>
              <a:rPr lang="es-CO" baseline="0"/>
              <a:t> America y Oceania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Hoja3!$I$34:$I$38</c:f>
              <c:strCache>
                <c:ptCount val="5"/>
                <c:pt idx="0">
                  <c:v>Estados Unidos </c:v>
                </c:pt>
                <c:pt idx="1">
                  <c:v>Canadá</c:v>
                </c:pt>
                <c:pt idx="2">
                  <c:v>Puerto Rico</c:v>
                </c:pt>
                <c:pt idx="3">
                  <c:v>Austrália</c:v>
                </c:pt>
                <c:pt idx="4">
                  <c:v>Tonga</c:v>
                </c:pt>
              </c:strCache>
            </c:strRef>
          </c:cat>
          <c:val>
            <c:numRef>
              <c:f>Hoja3!$J$34:$J$38</c:f>
              <c:numCache>
                <c:formatCode>General</c:formatCode>
                <c:ptCount val="5"/>
                <c:pt idx="0">
                  <c:v>54</c:v>
                </c:pt>
                <c:pt idx="1">
                  <c:v>38</c:v>
                </c:pt>
                <c:pt idx="2">
                  <c:v>37</c:v>
                </c:pt>
                <c:pt idx="3">
                  <c:v>25</c:v>
                </c:pt>
                <c:pt idx="4">
                  <c:v>4</c:v>
                </c:pt>
              </c:numCache>
            </c:numRef>
          </c:val>
          <c:extLst>
            <c:ext xmlns:c16="http://schemas.microsoft.com/office/drawing/2014/chart" uri="{C3380CC4-5D6E-409C-BE32-E72D297353CC}">
              <c16:uniqueId val="{00000000-F811-46C1-9BFD-1611D089F970}"/>
            </c:ext>
          </c:extLst>
        </c:ser>
        <c:dLbls>
          <c:dLblPos val="outEnd"/>
          <c:showLegendKey val="0"/>
          <c:showVal val="1"/>
          <c:showCatName val="0"/>
          <c:showSerName val="0"/>
          <c:showPercent val="0"/>
          <c:showBubbleSize val="0"/>
        </c:dLbls>
        <c:gapWidth val="219"/>
        <c:overlap val="-27"/>
        <c:axId val="178746352"/>
        <c:axId val="178765072"/>
      </c:barChart>
      <c:catAx>
        <c:axId val="178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65072"/>
        <c:crosses val="autoZero"/>
        <c:auto val="1"/>
        <c:lblAlgn val="ctr"/>
        <c:lblOffset val="100"/>
        <c:noMultiLvlLbl val="0"/>
      </c:catAx>
      <c:valAx>
        <c:axId val="178765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746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POgwJstrHAIpox28YQ1GX1OwQ==">CgMxLjAyCGguZ2pkZ3hzMgloLjMwajB6bGwyCWguMWZvYjl0ZTIJaC4zem55c2g3MgloLjJldDkycDA4AHIhMS03WXpKMWhRYUVMZjRoa2E3MlhGRkI4em8zaUNHSWJn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26</Pages>
  <Words>7180</Words>
  <Characters>45846</Characters>
  <Application>Microsoft Office Word</Application>
  <DocSecurity>0</DocSecurity>
  <Lines>982</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Yaricsa Yuliana Vilca Coaquera</dc:creator>
  <cp:lastModifiedBy>User</cp:lastModifiedBy>
  <cp:revision>3</cp:revision>
  <dcterms:created xsi:type="dcterms:W3CDTF">2024-01-30T07:14:00Z</dcterms:created>
  <dcterms:modified xsi:type="dcterms:W3CDTF">2024-09-10T06:24:00Z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3290c6d90e41f53555d62c3930804dbd183d8c3fc1e743e865c8c9c68ca292e3</vt:lpwstr>
  </property>
</Properties>
</file>